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723" w:firstLineChars="200"/>
        <w:jc w:val="center"/>
        <w:rPr>
          <w:rFonts w:ascii="黑体" w:hAnsi="黑体" w:eastAsia="黑体"/>
          <w:b/>
          <w:snapToGrid w:val="0"/>
          <w:kern w:val="0"/>
          <w:sz w:val="36"/>
          <w:szCs w:val="36"/>
        </w:rPr>
      </w:pPr>
      <w:bookmarkStart w:id="0" w:name="_Toc365451711"/>
      <w:bookmarkStart w:id="1" w:name="_Toc120957149"/>
      <w:bookmarkStart w:id="2" w:name="_Toc365446726"/>
      <w:bookmarkStart w:id="3" w:name="_Toc247810832"/>
    </w:p>
    <w:p>
      <w:pPr>
        <w:adjustRightInd w:val="0"/>
        <w:snapToGrid w:val="0"/>
        <w:spacing w:line="360" w:lineRule="auto"/>
        <w:ind w:firstLine="480" w:firstLineChars="200"/>
        <w:jc w:val="center"/>
        <w:rPr>
          <w:rFonts w:ascii="黑体" w:hAnsi="黑体" w:eastAsia="黑体"/>
          <w:snapToGrid w:val="0"/>
          <w:kern w:val="0"/>
          <w:szCs w:val="36"/>
        </w:rPr>
      </w:pPr>
      <w:r>
        <w:rPr>
          <w:rFonts w:hint="eastAsia" w:ascii="黑体" w:hAnsi="黑体" w:eastAsia="黑体"/>
          <w:snapToGrid w:val="0"/>
          <w:kern w:val="0"/>
          <w:szCs w:val="36"/>
        </w:rPr>
        <w:t xml:space="preserve">  </w:t>
      </w:r>
    </w:p>
    <w:p>
      <w:pPr>
        <w:adjustRightInd w:val="0"/>
        <w:snapToGrid w:val="0"/>
        <w:spacing w:line="360" w:lineRule="auto"/>
        <w:ind w:firstLine="723" w:firstLineChars="200"/>
        <w:jc w:val="center"/>
        <w:rPr>
          <w:rFonts w:ascii="黑体" w:hAnsi="黑体" w:eastAsia="黑体"/>
          <w:b/>
          <w:snapToGrid w:val="0"/>
          <w:kern w:val="0"/>
          <w:sz w:val="36"/>
          <w:szCs w:val="36"/>
        </w:rPr>
      </w:pPr>
      <w:r>
        <w:rPr>
          <w:rFonts w:hint="eastAsia" w:ascii="黑体" w:hAnsi="黑体" w:eastAsia="黑体"/>
          <w:b/>
          <w:snapToGrid w:val="0"/>
          <w:kern w:val="0"/>
          <w:sz w:val="36"/>
          <w:szCs w:val="36"/>
        </w:rPr>
        <w:t>上海文谛资产管理有限公司投资管理制度</w:t>
      </w:r>
    </w:p>
    <w:p>
      <w:pPr>
        <w:adjustRightInd w:val="0"/>
        <w:snapToGrid w:val="0"/>
        <w:spacing w:line="360" w:lineRule="auto"/>
        <w:ind w:firstLine="723" w:firstLineChars="200"/>
        <w:jc w:val="center"/>
        <w:rPr>
          <w:rFonts w:ascii="黑体" w:hAnsi="黑体" w:eastAsia="黑体"/>
          <w:b/>
          <w:snapToGrid w:val="0"/>
          <w:kern w:val="0"/>
          <w:sz w:val="36"/>
          <w:szCs w:val="36"/>
        </w:rPr>
      </w:pPr>
    </w:p>
    <w:p>
      <w:pPr>
        <w:adjustRightInd w:val="0"/>
        <w:snapToGrid w:val="0"/>
        <w:spacing w:line="360" w:lineRule="auto"/>
        <w:ind w:firstLine="723" w:firstLineChars="200"/>
        <w:jc w:val="center"/>
        <w:rPr>
          <w:rFonts w:ascii="黑体" w:hAnsi="黑体" w:eastAsia="黑体"/>
          <w:b/>
          <w:snapToGrid w:val="0"/>
          <w:kern w:val="0"/>
          <w:sz w:val="36"/>
          <w:szCs w:val="36"/>
        </w:rPr>
      </w:pPr>
    </w:p>
    <w:p>
      <w:pPr>
        <w:adjustRightInd w:val="0"/>
        <w:snapToGrid w:val="0"/>
        <w:spacing w:line="360" w:lineRule="auto"/>
        <w:ind w:firstLine="723" w:firstLineChars="200"/>
        <w:jc w:val="center"/>
        <w:rPr>
          <w:rFonts w:ascii="黑体" w:hAnsi="黑体" w:eastAsia="黑体"/>
          <w:b/>
          <w:snapToGrid w:val="0"/>
          <w:kern w:val="0"/>
          <w:sz w:val="36"/>
          <w:szCs w:val="36"/>
        </w:rPr>
      </w:pPr>
    </w:p>
    <w:p>
      <w:pPr>
        <w:adjustRightInd w:val="0"/>
        <w:snapToGrid w:val="0"/>
        <w:spacing w:line="360" w:lineRule="auto"/>
        <w:ind w:firstLine="562" w:firstLineChars="200"/>
        <w:jc w:val="center"/>
        <w:rPr>
          <w:rFonts w:ascii="仿宋" w:hAnsi="仿宋" w:eastAsia="仿宋"/>
          <w:b/>
          <w:snapToGrid w:val="0"/>
          <w:kern w:val="0"/>
          <w:sz w:val="28"/>
          <w:szCs w:val="28"/>
        </w:rPr>
      </w:pPr>
      <w:r>
        <w:rPr>
          <w:rFonts w:hint="eastAsia" w:ascii="仿宋" w:hAnsi="仿宋" w:eastAsia="仿宋"/>
          <w:b/>
          <w:snapToGrid w:val="0"/>
          <w:kern w:val="0"/>
          <w:sz w:val="28"/>
          <w:szCs w:val="28"/>
        </w:rPr>
        <w:t>目录</w:t>
      </w:r>
    </w:p>
    <w:p>
      <w:pPr>
        <w:adjustRightInd w:val="0"/>
        <w:snapToGrid w:val="0"/>
        <w:spacing w:line="360" w:lineRule="auto"/>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第一章  总则</w:t>
      </w:r>
    </w:p>
    <w:p>
      <w:pPr>
        <w:adjustRightInd w:val="0"/>
        <w:snapToGrid w:val="0"/>
        <w:spacing w:line="360" w:lineRule="auto"/>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第二章  投资架构与流程</w:t>
      </w:r>
    </w:p>
    <w:p>
      <w:pPr>
        <w:adjustRightInd w:val="0"/>
        <w:snapToGrid w:val="0"/>
        <w:spacing w:line="360" w:lineRule="auto"/>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第三章  投资风险控制</w:t>
      </w:r>
    </w:p>
    <w:p>
      <w:pPr>
        <w:adjustRightInd w:val="0"/>
        <w:snapToGrid w:val="0"/>
        <w:spacing w:line="360" w:lineRule="auto"/>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第四章  投资保障配套措施</w:t>
      </w:r>
    </w:p>
    <w:p>
      <w:pPr>
        <w:adjustRightInd w:val="0"/>
        <w:snapToGrid w:val="0"/>
        <w:spacing w:line="360" w:lineRule="auto"/>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第五章  附则</w:t>
      </w:r>
    </w:p>
    <w:p>
      <w:pPr>
        <w:adjustRightInd w:val="0"/>
        <w:snapToGrid w:val="0"/>
        <w:spacing w:line="360" w:lineRule="auto"/>
        <w:ind w:firstLine="560" w:firstLineChars="200"/>
        <w:jc w:val="left"/>
        <w:rPr>
          <w:rFonts w:ascii="仿宋" w:hAnsi="仿宋" w:eastAsia="仿宋"/>
          <w:snapToGrid w:val="0"/>
          <w:kern w:val="0"/>
          <w:sz w:val="28"/>
          <w:szCs w:val="28"/>
        </w:rPr>
      </w:pPr>
    </w:p>
    <w:p>
      <w:pPr>
        <w:adjustRightInd w:val="0"/>
        <w:snapToGrid w:val="0"/>
        <w:spacing w:line="360" w:lineRule="auto"/>
        <w:ind w:firstLine="562" w:firstLineChars="200"/>
        <w:jc w:val="center"/>
        <w:rPr>
          <w:rFonts w:ascii="仿宋" w:hAnsi="仿宋" w:eastAsia="仿宋"/>
          <w:b/>
          <w:snapToGrid w:val="0"/>
          <w:kern w:val="0"/>
          <w:sz w:val="28"/>
          <w:szCs w:val="28"/>
        </w:rPr>
      </w:pPr>
    </w:p>
    <w:p>
      <w:pPr>
        <w:adjustRightInd w:val="0"/>
        <w:snapToGrid w:val="0"/>
        <w:spacing w:line="360" w:lineRule="auto"/>
        <w:ind w:firstLine="562" w:firstLineChars="200"/>
        <w:jc w:val="center"/>
        <w:rPr>
          <w:rFonts w:ascii="仿宋" w:hAnsi="仿宋" w:eastAsia="仿宋"/>
          <w:b/>
          <w:snapToGrid w:val="0"/>
          <w:kern w:val="0"/>
          <w:sz w:val="28"/>
          <w:szCs w:val="28"/>
        </w:rPr>
      </w:pPr>
    </w:p>
    <w:p>
      <w:pPr>
        <w:adjustRightInd w:val="0"/>
        <w:snapToGrid w:val="0"/>
        <w:spacing w:line="360" w:lineRule="auto"/>
        <w:ind w:firstLine="562" w:firstLineChars="200"/>
        <w:jc w:val="center"/>
        <w:rPr>
          <w:rFonts w:ascii="仿宋" w:hAnsi="仿宋" w:eastAsia="仿宋"/>
          <w:b/>
          <w:snapToGrid w:val="0"/>
          <w:kern w:val="0"/>
          <w:sz w:val="28"/>
          <w:szCs w:val="28"/>
        </w:rPr>
      </w:pPr>
    </w:p>
    <w:p>
      <w:pPr>
        <w:adjustRightInd w:val="0"/>
        <w:snapToGrid w:val="0"/>
        <w:spacing w:line="360" w:lineRule="auto"/>
        <w:ind w:firstLine="562" w:firstLineChars="200"/>
        <w:jc w:val="center"/>
        <w:rPr>
          <w:rFonts w:ascii="仿宋" w:hAnsi="仿宋" w:eastAsia="仿宋"/>
          <w:b/>
          <w:snapToGrid w:val="0"/>
          <w:kern w:val="0"/>
          <w:sz w:val="28"/>
          <w:szCs w:val="28"/>
        </w:rPr>
      </w:pPr>
    </w:p>
    <w:p>
      <w:pPr>
        <w:adjustRightInd w:val="0"/>
        <w:snapToGrid w:val="0"/>
        <w:spacing w:line="360" w:lineRule="auto"/>
        <w:ind w:firstLine="562" w:firstLineChars="200"/>
        <w:jc w:val="center"/>
        <w:rPr>
          <w:rFonts w:ascii="仿宋" w:hAnsi="仿宋" w:eastAsia="仿宋"/>
          <w:b/>
          <w:snapToGrid w:val="0"/>
          <w:kern w:val="0"/>
          <w:sz w:val="28"/>
          <w:szCs w:val="28"/>
        </w:rPr>
      </w:pPr>
    </w:p>
    <w:p>
      <w:pPr>
        <w:adjustRightInd w:val="0"/>
        <w:snapToGrid w:val="0"/>
        <w:spacing w:line="360" w:lineRule="auto"/>
        <w:ind w:firstLine="562" w:firstLineChars="200"/>
        <w:jc w:val="center"/>
        <w:rPr>
          <w:rFonts w:ascii="仿宋" w:hAnsi="仿宋" w:eastAsia="仿宋"/>
          <w:b/>
          <w:snapToGrid w:val="0"/>
          <w:kern w:val="0"/>
          <w:sz w:val="28"/>
          <w:szCs w:val="28"/>
        </w:rPr>
      </w:pPr>
    </w:p>
    <w:p>
      <w:pPr>
        <w:adjustRightInd w:val="0"/>
        <w:snapToGrid w:val="0"/>
        <w:spacing w:line="360" w:lineRule="auto"/>
        <w:ind w:firstLine="562" w:firstLineChars="200"/>
        <w:jc w:val="center"/>
        <w:rPr>
          <w:rFonts w:ascii="仿宋" w:hAnsi="仿宋" w:eastAsia="仿宋"/>
          <w:b/>
          <w:snapToGrid w:val="0"/>
          <w:kern w:val="0"/>
          <w:sz w:val="28"/>
          <w:szCs w:val="28"/>
        </w:rPr>
      </w:pPr>
    </w:p>
    <w:p>
      <w:pPr>
        <w:adjustRightInd w:val="0"/>
        <w:snapToGrid w:val="0"/>
        <w:spacing w:line="360" w:lineRule="auto"/>
        <w:ind w:firstLine="562" w:firstLineChars="200"/>
        <w:jc w:val="center"/>
        <w:rPr>
          <w:rFonts w:ascii="仿宋" w:hAnsi="仿宋" w:eastAsia="仿宋"/>
          <w:b/>
          <w:snapToGrid w:val="0"/>
          <w:kern w:val="0"/>
          <w:sz w:val="28"/>
          <w:szCs w:val="28"/>
        </w:rPr>
      </w:pPr>
    </w:p>
    <w:p>
      <w:pPr>
        <w:adjustRightInd w:val="0"/>
        <w:snapToGrid w:val="0"/>
        <w:spacing w:line="360" w:lineRule="auto"/>
        <w:ind w:firstLine="562" w:firstLineChars="200"/>
        <w:jc w:val="center"/>
        <w:rPr>
          <w:rFonts w:ascii="仿宋" w:hAnsi="仿宋" w:eastAsia="仿宋"/>
          <w:b/>
          <w:snapToGrid w:val="0"/>
          <w:kern w:val="0"/>
          <w:sz w:val="28"/>
          <w:szCs w:val="28"/>
        </w:rPr>
      </w:pPr>
    </w:p>
    <w:p>
      <w:pPr>
        <w:adjustRightInd w:val="0"/>
        <w:snapToGrid w:val="0"/>
        <w:spacing w:line="360" w:lineRule="auto"/>
        <w:ind w:firstLine="562" w:firstLineChars="200"/>
        <w:jc w:val="center"/>
        <w:rPr>
          <w:rFonts w:ascii="仿宋" w:hAnsi="仿宋" w:eastAsia="仿宋"/>
          <w:b/>
          <w:snapToGrid w:val="0"/>
          <w:kern w:val="0"/>
          <w:sz w:val="28"/>
          <w:szCs w:val="28"/>
        </w:rPr>
      </w:pPr>
    </w:p>
    <w:p>
      <w:pPr>
        <w:adjustRightInd w:val="0"/>
        <w:snapToGrid w:val="0"/>
        <w:spacing w:line="360" w:lineRule="auto"/>
        <w:ind w:firstLine="562" w:firstLineChars="200"/>
        <w:jc w:val="center"/>
        <w:rPr>
          <w:rFonts w:ascii="仿宋" w:hAnsi="仿宋" w:eastAsia="仿宋"/>
          <w:b/>
          <w:snapToGrid w:val="0"/>
          <w:kern w:val="0"/>
          <w:sz w:val="28"/>
          <w:szCs w:val="28"/>
        </w:rPr>
      </w:pPr>
    </w:p>
    <w:p>
      <w:pPr>
        <w:numPr>
          <w:ilvl w:val="0"/>
          <w:numId w:val="1"/>
        </w:numPr>
        <w:adjustRightInd w:val="0"/>
        <w:snapToGrid w:val="0"/>
        <w:spacing w:line="360" w:lineRule="auto"/>
        <w:jc w:val="center"/>
        <w:rPr>
          <w:rFonts w:ascii="仿宋" w:hAnsi="仿宋" w:eastAsia="仿宋"/>
          <w:b/>
          <w:snapToGrid w:val="0"/>
          <w:kern w:val="0"/>
          <w:sz w:val="28"/>
          <w:szCs w:val="28"/>
        </w:rPr>
      </w:pPr>
      <w:r>
        <w:rPr>
          <w:rFonts w:hint="eastAsia" w:ascii="仿宋" w:hAnsi="仿宋" w:eastAsia="仿宋"/>
          <w:b/>
          <w:snapToGrid w:val="0"/>
          <w:kern w:val="0"/>
          <w:sz w:val="28"/>
          <w:szCs w:val="28"/>
        </w:rPr>
        <w:t xml:space="preserve">  总  则</w:t>
      </w:r>
      <w:bookmarkEnd w:id="0"/>
      <w:bookmarkEnd w:id="1"/>
      <w:bookmarkEnd w:id="2"/>
      <w:bookmarkEnd w:id="3"/>
    </w:p>
    <w:p>
      <w:pPr>
        <w:pStyle w:val="18"/>
        <w:numPr>
          <w:ilvl w:val="0"/>
          <w:numId w:val="2"/>
        </w:numPr>
        <w:spacing w:line="360" w:lineRule="auto"/>
        <w:ind w:left="0" w:firstLine="567" w:firstLineChars="0"/>
        <w:rPr>
          <w:rFonts w:ascii="仿宋" w:hAnsi="仿宋" w:eastAsia="仿宋"/>
          <w:sz w:val="28"/>
          <w:szCs w:val="28"/>
        </w:rPr>
      </w:pPr>
      <w:r>
        <w:rPr>
          <w:rFonts w:hint="eastAsia" w:ascii="仿宋" w:hAnsi="仿宋" w:eastAsia="仿宋"/>
          <w:snapToGrid w:val="0"/>
          <w:kern w:val="0"/>
          <w:sz w:val="28"/>
          <w:szCs w:val="28"/>
        </w:rPr>
        <w:t xml:space="preserve"> 为防范基金投资风险，建立严谨、科学、高效、有序的基金投资运作体系，根据《</w:t>
      </w:r>
      <w:r>
        <w:rPr>
          <w:rFonts w:hint="eastAsia" w:ascii="仿宋" w:hAnsi="仿宋" w:eastAsia="仿宋"/>
          <w:sz w:val="28"/>
          <w:szCs w:val="28"/>
        </w:rPr>
        <w:t>中华人民共和国证券投资基金法》、《私募投资基金监督管理暂行办法》、《私募投资基金管理人内部控制指引》等法律法规、规范性法律文件及相关监管要求制定本制度。</w:t>
      </w:r>
    </w:p>
    <w:p>
      <w:pPr>
        <w:pStyle w:val="18"/>
        <w:numPr>
          <w:ilvl w:val="0"/>
          <w:numId w:val="2"/>
        </w:numPr>
        <w:spacing w:line="360" w:lineRule="auto"/>
        <w:ind w:left="0" w:firstLine="567" w:firstLineChars="0"/>
        <w:rPr>
          <w:rFonts w:ascii="仿宋" w:hAnsi="仿宋" w:eastAsia="仿宋"/>
          <w:snapToGrid w:val="0"/>
          <w:kern w:val="0"/>
          <w:sz w:val="28"/>
          <w:szCs w:val="28"/>
        </w:rPr>
      </w:pPr>
      <w:r>
        <w:rPr>
          <w:rFonts w:hint="eastAsia" w:ascii="仿宋" w:hAnsi="仿宋" w:eastAsia="仿宋"/>
          <w:snapToGrid w:val="0"/>
          <w:kern w:val="0"/>
          <w:sz w:val="28"/>
          <w:szCs w:val="28"/>
        </w:rPr>
        <w:t xml:space="preserve"> 本制度包括基金投资管理的原则、组织结构、投资禁止制度、投资研究、投资决策、投资执行、投资的风险管理等方面内容，适用于基金投资的全过程。</w:t>
      </w:r>
      <w:bookmarkStart w:id="4" w:name="_Toc247810833"/>
      <w:bookmarkStart w:id="5" w:name="_Toc365451712"/>
      <w:bookmarkStart w:id="6" w:name="_Toc365446727"/>
    </w:p>
    <w:bookmarkEnd w:id="4"/>
    <w:bookmarkEnd w:id="5"/>
    <w:bookmarkEnd w:id="6"/>
    <w:p>
      <w:pPr>
        <w:pStyle w:val="18"/>
        <w:numPr>
          <w:ilvl w:val="0"/>
          <w:numId w:val="2"/>
        </w:numPr>
        <w:spacing w:line="360" w:lineRule="auto"/>
        <w:ind w:left="0" w:firstLine="567" w:firstLineChars="0"/>
        <w:rPr>
          <w:rFonts w:ascii="仿宋" w:hAnsi="仿宋" w:eastAsia="仿宋"/>
          <w:snapToGrid w:val="0"/>
          <w:kern w:val="0"/>
          <w:sz w:val="28"/>
          <w:szCs w:val="28"/>
        </w:rPr>
      </w:pPr>
      <w:r>
        <w:rPr>
          <w:rFonts w:hint="eastAsia" w:ascii="仿宋" w:hAnsi="仿宋" w:eastAsia="仿宋"/>
          <w:snapToGrid w:val="0"/>
          <w:kern w:val="0"/>
          <w:sz w:val="28"/>
          <w:szCs w:val="28"/>
        </w:rPr>
        <w:t xml:space="preserve"> 在运用基金资产投资时，应遵循以下原则：</w:t>
      </w:r>
    </w:p>
    <w:p>
      <w:pPr>
        <w:adjustRightInd w:val="0"/>
        <w:snapToGrid w:val="0"/>
        <w:spacing w:line="360" w:lineRule="auto"/>
        <w:jc w:val="left"/>
        <w:rPr>
          <w:rFonts w:ascii="仿宋" w:hAnsi="仿宋" w:eastAsia="仿宋"/>
          <w:snapToGrid w:val="0"/>
          <w:kern w:val="0"/>
          <w:sz w:val="28"/>
          <w:szCs w:val="28"/>
        </w:rPr>
      </w:pPr>
      <w:r>
        <w:rPr>
          <w:rFonts w:hint="eastAsia" w:ascii="仿宋" w:hAnsi="仿宋" w:eastAsia="仿宋"/>
          <w:snapToGrid w:val="0"/>
          <w:kern w:val="0"/>
          <w:sz w:val="28"/>
          <w:szCs w:val="28"/>
        </w:rPr>
        <w:t xml:space="preserve">    （一）</w:t>
      </w:r>
      <w:r>
        <w:rPr>
          <w:rFonts w:ascii="仿宋" w:hAnsi="仿宋" w:eastAsia="仿宋"/>
          <w:snapToGrid w:val="0"/>
          <w:kern w:val="0"/>
          <w:sz w:val="28"/>
          <w:szCs w:val="28"/>
        </w:rPr>
        <w:t>公平交易</w:t>
      </w:r>
      <w:r>
        <w:rPr>
          <w:rFonts w:hint="eastAsia" w:ascii="仿宋" w:hAnsi="仿宋" w:eastAsia="仿宋"/>
          <w:snapToGrid w:val="0"/>
          <w:kern w:val="0"/>
          <w:sz w:val="28"/>
          <w:szCs w:val="28"/>
        </w:rPr>
        <w:t>原则。</w:t>
      </w:r>
      <w:r>
        <w:rPr>
          <w:rFonts w:ascii="仿宋" w:hAnsi="仿宋" w:eastAsia="仿宋"/>
          <w:snapToGrid w:val="0"/>
          <w:kern w:val="0"/>
          <w:sz w:val="28"/>
          <w:szCs w:val="28"/>
        </w:rPr>
        <w:t>公平对待不同投资者，公平对待投资者和其他资产委托人，不得在不同基金财产之间、基金财产和其他委托资产之间直接或通过第三方交易等形式进行利益输送。</w:t>
      </w:r>
      <w:r>
        <w:rPr>
          <w:rFonts w:hint="eastAsia" w:ascii="仿宋" w:hAnsi="仿宋" w:eastAsia="仿宋"/>
          <w:snapToGrid w:val="0"/>
          <w:kern w:val="0"/>
          <w:sz w:val="28"/>
          <w:szCs w:val="28"/>
        </w:rPr>
        <w:t>建立公平交易制度，制定公平交易规则，明确公平交易的原则和实施措施。</w:t>
      </w:r>
    </w:p>
    <w:p>
      <w:pPr>
        <w:adjustRightInd w:val="0"/>
        <w:snapToGrid w:val="0"/>
        <w:spacing w:line="360" w:lineRule="auto"/>
        <w:jc w:val="left"/>
        <w:rPr>
          <w:rFonts w:ascii="仿宋" w:hAnsi="仿宋" w:eastAsia="仿宋"/>
          <w:snapToGrid w:val="0"/>
          <w:kern w:val="0"/>
          <w:sz w:val="28"/>
          <w:szCs w:val="28"/>
        </w:rPr>
      </w:pPr>
      <w:r>
        <w:rPr>
          <w:rFonts w:hint="eastAsia" w:ascii="仿宋" w:hAnsi="仿宋" w:eastAsia="仿宋"/>
          <w:snapToGrid w:val="0"/>
          <w:kern w:val="0"/>
          <w:sz w:val="28"/>
          <w:szCs w:val="28"/>
        </w:rPr>
        <w:t xml:space="preserve">    （二）合法合规原则。基金投资应当严格遵守国家有关法律法规和行业监管规则，自觉形成守法经营、规范运作的经营思想和经营风格，</w:t>
      </w:r>
    </w:p>
    <w:p>
      <w:pPr>
        <w:adjustRightInd w:val="0"/>
        <w:snapToGrid w:val="0"/>
        <w:spacing w:line="360" w:lineRule="auto"/>
        <w:jc w:val="left"/>
        <w:rPr>
          <w:rFonts w:ascii="仿宋" w:hAnsi="仿宋" w:eastAsia="仿宋"/>
          <w:snapToGrid w:val="0"/>
          <w:kern w:val="0"/>
          <w:sz w:val="28"/>
          <w:szCs w:val="28"/>
        </w:rPr>
      </w:pPr>
      <w:r>
        <w:rPr>
          <w:rFonts w:hint="eastAsia" w:ascii="仿宋" w:hAnsi="仿宋" w:eastAsia="仿宋"/>
          <w:snapToGrid w:val="0"/>
          <w:kern w:val="0"/>
          <w:sz w:val="28"/>
          <w:szCs w:val="28"/>
        </w:rPr>
        <w:t xml:space="preserve">    （三）防火墙原则。基金资产和公司自有资产的运作应当严格分离，基金投资研究、决策、执行、清算和评估等部门和岗位应当在物理上和制度上适当隔离。不同的基金要独立运作，分别管理；</w:t>
      </w:r>
    </w:p>
    <w:p>
      <w:pPr>
        <w:adjustRightInd w:val="0"/>
        <w:snapToGrid w:val="0"/>
        <w:spacing w:line="360" w:lineRule="auto"/>
        <w:jc w:val="left"/>
        <w:rPr>
          <w:rFonts w:ascii="仿宋" w:hAnsi="仿宋" w:eastAsia="仿宋"/>
          <w:snapToGrid w:val="0"/>
          <w:kern w:val="0"/>
          <w:sz w:val="28"/>
          <w:szCs w:val="28"/>
        </w:rPr>
      </w:pPr>
      <w:r>
        <w:rPr>
          <w:rFonts w:hint="eastAsia" w:ascii="仿宋" w:hAnsi="仿宋" w:eastAsia="仿宋"/>
          <w:snapToGrid w:val="0"/>
          <w:kern w:val="0"/>
          <w:sz w:val="28"/>
          <w:szCs w:val="28"/>
        </w:rPr>
        <w:t xml:space="preserve">    （四）制约原则。基金投资业务</w:t>
      </w:r>
      <w:r>
        <w:rPr>
          <w:rFonts w:ascii="仿宋" w:hAnsi="仿宋" w:eastAsia="仿宋"/>
          <w:snapToGrid w:val="0"/>
          <w:kern w:val="0"/>
          <w:sz w:val="28"/>
          <w:szCs w:val="28"/>
        </w:rPr>
        <w:t>部门和岗位的设置必须权责分明、相互牵制，并通过切实可行的相互制衡措施来消除</w:t>
      </w:r>
      <w:r>
        <w:rPr>
          <w:rFonts w:hint="eastAsia" w:ascii="仿宋" w:hAnsi="仿宋" w:eastAsia="仿宋"/>
          <w:snapToGrid w:val="0"/>
          <w:kern w:val="0"/>
          <w:sz w:val="28"/>
          <w:szCs w:val="28"/>
        </w:rPr>
        <w:t>内部</w:t>
      </w:r>
      <w:r>
        <w:rPr>
          <w:rFonts w:ascii="仿宋" w:hAnsi="仿宋" w:eastAsia="仿宋"/>
          <w:snapToGrid w:val="0"/>
          <w:kern w:val="0"/>
          <w:sz w:val="28"/>
          <w:szCs w:val="28"/>
        </w:rPr>
        <w:t>控制中的盲点</w:t>
      </w:r>
      <w:r>
        <w:rPr>
          <w:rFonts w:hint="eastAsia" w:ascii="仿宋" w:hAnsi="仿宋" w:eastAsia="仿宋"/>
          <w:snapToGrid w:val="0"/>
          <w:kern w:val="0"/>
          <w:sz w:val="28"/>
          <w:szCs w:val="28"/>
        </w:rPr>
        <w:t>；</w:t>
      </w:r>
    </w:p>
    <w:p>
      <w:pPr>
        <w:adjustRightInd w:val="0"/>
        <w:snapToGrid w:val="0"/>
        <w:spacing w:line="360" w:lineRule="auto"/>
        <w:jc w:val="left"/>
        <w:rPr>
          <w:rFonts w:ascii="仿宋" w:hAnsi="仿宋" w:eastAsia="仿宋"/>
          <w:snapToGrid w:val="0"/>
          <w:kern w:val="0"/>
          <w:sz w:val="28"/>
          <w:szCs w:val="28"/>
        </w:rPr>
      </w:pPr>
      <w:r>
        <w:rPr>
          <w:rFonts w:hint="eastAsia" w:ascii="仿宋" w:hAnsi="仿宋" w:eastAsia="仿宋"/>
          <w:snapToGrid w:val="0"/>
          <w:kern w:val="0"/>
          <w:sz w:val="28"/>
          <w:szCs w:val="28"/>
        </w:rPr>
        <w:t xml:space="preserve">    （五）严格授权原则。授权制度是投资管理业务控制的核心，必须贯穿于投资管理活动的全过程；</w:t>
      </w:r>
    </w:p>
    <w:p>
      <w:pPr>
        <w:adjustRightInd w:val="0"/>
        <w:snapToGrid w:val="0"/>
        <w:spacing w:line="360" w:lineRule="auto"/>
        <w:ind w:firstLine="555"/>
        <w:jc w:val="left"/>
        <w:rPr>
          <w:rFonts w:ascii="仿宋" w:hAnsi="仿宋" w:eastAsia="仿宋"/>
          <w:snapToGrid w:val="0"/>
          <w:kern w:val="0"/>
          <w:sz w:val="28"/>
          <w:szCs w:val="28"/>
        </w:rPr>
      </w:pPr>
      <w:r>
        <w:rPr>
          <w:rFonts w:hint="eastAsia" w:ascii="仿宋" w:hAnsi="仿宋" w:eastAsia="仿宋"/>
          <w:snapToGrid w:val="0"/>
          <w:kern w:val="0"/>
          <w:sz w:val="28"/>
          <w:szCs w:val="28"/>
        </w:rPr>
        <w:t>（六）审慎投资原则。任何基金投资决策的做出必须建立在充分研究论证的基础之上，任何量化模型的使用需在可认知范围内最大限度符合市场的一般规律。</w:t>
      </w:r>
    </w:p>
    <w:p>
      <w:pPr>
        <w:adjustRightInd w:val="0"/>
        <w:snapToGrid w:val="0"/>
        <w:spacing w:line="360" w:lineRule="auto"/>
        <w:ind w:firstLine="555"/>
        <w:jc w:val="left"/>
        <w:rPr>
          <w:rFonts w:ascii="仿宋" w:hAnsi="仿宋" w:eastAsia="仿宋"/>
          <w:snapToGrid w:val="0"/>
          <w:kern w:val="0"/>
          <w:sz w:val="28"/>
          <w:szCs w:val="28"/>
        </w:rPr>
      </w:pPr>
      <w:r>
        <w:rPr>
          <w:rFonts w:hint="eastAsia" w:ascii="仿宋" w:hAnsi="仿宋" w:eastAsia="仿宋"/>
          <w:snapToGrid w:val="0"/>
          <w:kern w:val="0"/>
          <w:sz w:val="28"/>
          <w:szCs w:val="28"/>
        </w:rPr>
        <w:t>（七）利益一致原则。在不违反原则（一）、（三）前提下，鼓励投资经理利用自有资金投资其管理产品。</w:t>
      </w:r>
    </w:p>
    <w:p>
      <w:pPr>
        <w:pStyle w:val="7"/>
        <w:widowControl w:val="0"/>
        <w:shd w:val="clear" w:color="auto" w:fill="FFFFFF"/>
        <w:spacing w:line="360" w:lineRule="auto"/>
        <w:ind w:firstLine="560" w:firstLineChars="200"/>
        <w:rPr>
          <w:rFonts w:ascii="仿宋" w:hAnsi="仿宋" w:eastAsia="仿宋" w:cs="宋体"/>
          <w:sz w:val="28"/>
          <w:szCs w:val="28"/>
        </w:rPr>
      </w:pPr>
      <w:r>
        <w:rPr>
          <w:rFonts w:hint="eastAsia" w:ascii="仿宋" w:hAnsi="仿宋" w:eastAsia="仿宋"/>
          <w:snapToGrid w:val="0"/>
          <w:sz w:val="28"/>
          <w:szCs w:val="28"/>
        </w:rPr>
        <w:t>除此之外，基金投资应当</w:t>
      </w:r>
      <w:r>
        <w:rPr>
          <w:rFonts w:hint="eastAsia" w:ascii="仿宋" w:hAnsi="仿宋" w:eastAsia="仿宋" w:cs="宋体"/>
          <w:color w:val="000000"/>
          <w:sz w:val="28"/>
          <w:szCs w:val="28"/>
          <w:lang w:val="zh-TW" w:eastAsia="zh-TW"/>
        </w:rPr>
        <w:t>遵循自愿、诚实信用原则，维护投资者合法权益，不得损害国家利益和社会公共利益。</w:t>
      </w:r>
    </w:p>
    <w:p>
      <w:pPr>
        <w:adjustRightInd w:val="0"/>
        <w:snapToGrid w:val="0"/>
        <w:spacing w:line="360" w:lineRule="auto"/>
        <w:jc w:val="center"/>
        <w:rPr>
          <w:rFonts w:ascii="仿宋" w:hAnsi="仿宋" w:eastAsia="仿宋"/>
          <w:b/>
          <w:snapToGrid w:val="0"/>
          <w:kern w:val="0"/>
          <w:sz w:val="28"/>
          <w:szCs w:val="28"/>
        </w:rPr>
      </w:pPr>
      <w:bookmarkStart w:id="7" w:name="_Toc247810834"/>
      <w:bookmarkStart w:id="8" w:name="_Toc365451713"/>
      <w:bookmarkStart w:id="9" w:name="_Toc365446728"/>
      <w:r>
        <w:rPr>
          <w:rFonts w:hint="eastAsia" w:ascii="仿宋" w:hAnsi="仿宋" w:eastAsia="仿宋"/>
          <w:b/>
          <w:snapToGrid w:val="0"/>
          <w:kern w:val="0"/>
          <w:sz w:val="28"/>
          <w:szCs w:val="28"/>
        </w:rPr>
        <w:t>第二章  投资架构</w:t>
      </w:r>
      <w:bookmarkEnd w:id="7"/>
      <w:bookmarkEnd w:id="8"/>
      <w:bookmarkEnd w:id="9"/>
      <w:r>
        <w:rPr>
          <w:rFonts w:hint="eastAsia" w:ascii="仿宋" w:hAnsi="仿宋" w:eastAsia="仿宋"/>
          <w:b/>
          <w:snapToGrid w:val="0"/>
          <w:kern w:val="0"/>
          <w:sz w:val="28"/>
          <w:szCs w:val="28"/>
        </w:rPr>
        <w:t>与流程</w:t>
      </w:r>
    </w:p>
    <w:p>
      <w:pPr>
        <w:pStyle w:val="18"/>
        <w:numPr>
          <w:ilvl w:val="0"/>
          <w:numId w:val="2"/>
        </w:numPr>
        <w:spacing w:line="360" w:lineRule="auto"/>
        <w:ind w:left="0" w:firstLine="567" w:firstLineChars="0"/>
        <w:rPr>
          <w:rFonts w:ascii="仿宋" w:hAnsi="仿宋" w:eastAsia="仿宋"/>
          <w:snapToGrid w:val="0"/>
          <w:kern w:val="0"/>
          <w:sz w:val="28"/>
          <w:szCs w:val="28"/>
        </w:rPr>
      </w:pPr>
      <w:r>
        <w:rPr>
          <w:rFonts w:hint="eastAsia" w:ascii="仿宋" w:hAnsi="仿宋" w:eastAsia="仿宋"/>
          <w:snapToGrid w:val="0"/>
          <w:kern w:val="0"/>
          <w:sz w:val="28"/>
          <w:szCs w:val="28"/>
        </w:rPr>
        <w:t xml:space="preserve"> 基金投资管理流程运行主要涉及以下组织和岗位：</w:t>
      </w:r>
    </w:p>
    <w:p>
      <w:pPr>
        <w:adjustRightInd w:val="0"/>
        <w:snapToGrid w:val="0"/>
        <w:spacing w:line="360" w:lineRule="auto"/>
        <w:jc w:val="left"/>
        <w:rPr>
          <w:rFonts w:ascii="仿宋" w:hAnsi="仿宋" w:eastAsia="仿宋"/>
          <w:snapToGrid w:val="0"/>
          <w:kern w:val="0"/>
          <w:sz w:val="28"/>
          <w:szCs w:val="28"/>
        </w:rPr>
      </w:pPr>
      <w:r>
        <w:rPr>
          <w:rFonts w:hint="eastAsia" w:ascii="仿宋" w:hAnsi="仿宋" w:eastAsia="仿宋"/>
          <w:snapToGrid w:val="0"/>
          <w:kern w:val="0"/>
          <w:sz w:val="28"/>
          <w:szCs w:val="28"/>
        </w:rPr>
        <w:t xml:space="preserve">    （一）投资决策委员会（以下简称“投决会”）是基金业务投资决策的最高权力机构，由公司分管基金业务的高级管理人员、基金投资团队、研究团队负责人及相关投资经理等组成。投决会的主要职责包括从大类资产配置和量化策略使用方式两个层面提供连续、可追溯的决策原则，审核批准投资经理提出的量化投资策略模型、重大策略改进方案等重大投资决策建议，定期听取研究团队对策略研发进展的评估报告以及与基金投资决策相关的其他事项。</w:t>
      </w:r>
    </w:p>
    <w:p>
      <w:pPr>
        <w:adjustRightInd w:val="0"/>
        <w:snapToGrid w:val="0"/>
        <w:spacing w:line="360" w:lineRule="auto"/>
        <w:jc w:val="left"/>
        <w:rPr>
          <w:rFonts w:ascii="仿宋" w:hAnsi="仿宋" w:eastAsia="仿宋"/>
          <w:snapToGrid w:val="0"/>
          <w:kern w:val="0"/>
          <w:sz w:val="28"/>
          <w:szCs w:val="28"/>
        </w:rPr>
      </w:pPr>
      <w:r>
        <w:rPr>
          <w:rFonts w:hint="eastAsia" w:ascii="仿宋" w:hAnsi="仿宋" w:eastAsia="仿宋"/>
          <w:snapToGrid w:val="0"/>
          <w:kern w:val="0"/>
          <w:sz w:val="28"/>
          <w:szCs w:val="28"/>
        </w:rPr>
        <w:t xml:space="preserve">    （二）投资团队的主要职责为制定和执行每日投资方案、跟踪投资策略的实盘绩效并和研究团队及时沟通数理模型的样本外退化风险、维护和更新资产组合数据库等。</w:t>
      </w:r>
    </w:p>
    <w:p>
      <w:pPr>
        <w:adjustRightInd w:val="0"/>
        <w:snapToGrid w:val="0"/>
        <w:spacing w:line="360" w:lineRule="auto"/>
        <w:jc w:val="left"/>
        <w:rPr>
          <w:rFonts w:ascii="仿宋" w:hAnsi="仿宋" w:eastAsia="仿宋"/>
          <w:snapToGrid w:val="0"/>
          <w:kern w:val="0"/>
          <w:sz w:val="28"/>
          <w:szCs w:val="28"/>
        </w:rPr>
      </w:pPr>
      <w:r>
        <w:rPr>
          <w:rFonts w:hint="eastAsia" w:ascii="仿宋" w:hAnsi="仿宋" w:eastAsia="仿宋"/>
          <w:snapToGrid w:val="0"/>
          <w:kern w:val="0"/>
          <w:sz w:val="28"/>
          <w:szCs w:val="28"/>
        </w:rPr>
        <w:t xml:space="preserve">    （三）研究团队的主要职责是利用各类信息，建立科学合理的数理模型，持续研发有效投资策略；开发可扩展的自动化投资分析模块；维护研究用市场数据库和基本面信息数据库。</w:t>
      </w:r>
    </w:p>
    <w:p>
      <w:pPr>
        <w:adjustRightInd w:val="0"/>
        <w:snapToGrid w:val="0"/>
        <w:spacing w:line="360" w:lineRule="auto"/>
        <w:jc w:val="left"/>
        <w:rPr>
          <w:rFonts w:ascii="仿宋" w:hAnsi="仿宋" w:eastAsia="仿宋"/>
          <w:snapToGrid w:val="0"/>
          <w:kern w:val="0"/>
          <w:sz w:val="28"/>
          <w:szCs w:val="28"/>
        </w:rPr>
      </w:pPr>
      <w:r>
        <w:rPr>
          <w:rFonts w:hint="eastAsia" w:ascii="仿宋" w:hAnsi="仿宋" w:eastAsia="仿宋"/>
          <w:snapToGrid w:val="0"/>
          <w:kern w:val="0"/>
          <w:sz w:val="28"/>
          <w:szCs w:val="28"/>
        </w:rPr>
        <w:t xml:space="preserve">    （四）</w:t>
      </w:r>
      <w:r>
        <w:rPr>
          <w:rFonts w:ascii="仿宋" w:hAnsi="仿宋" w:eastAsia="仿宋"/>
          <w:snapToGrid w:val="0"/>
          <w:kern w:val="0"/>
          <w:sz w:val="28"/>
          <w:szCs w:val="28"/>
        </w:rPr>
        <w:t>负责维持健全有效的内控环境的专职组织</w:t>
      </w:r>
      <w:r>
        <w:rPr>
          <w:rFonts w:hint="eastAsia" w:ascii="仿宋" w:hAnsi="仿宋" w:eastAsia="仿宋"/>
          <w:snapToGrid w:val="0"/>
          <w:kern w:val="0"/>
          <w:sz w:val="28"/>
          <w:szCs w:val="28"/>
        </w:rPr>
        <w:t>为公司</w:t>
      </w:r>
      <w:r>
        <w:rPr>
          <w:rFonts w:ascii="仿宋" w:hAnsi="仿宋" w:eastAsia="仿宋"/>
          <w:snapToGrid w:val="0"/>
          <w:kern w:val="0"/>
          <w:sz w:val="28"/>
          <w:szCs w:val="28"/>
        </w:rPr>
        <w:t>合规风控部。对投资管理过程中的市场风险、流动性风险、操作风险等制定严密的鉴别、监督和控制制度和程序，监控投资风险</w:t>
      </w:r>
      <w:r>
        <w:rPr>
          <w:rFonts w:hint="eastAsia" w:ascii="仿宋" w:hAnsi="仿宋" w:eastAsia="仿宋"/>
          <w:snapToGrid w:val="0"/>
          <w:kern w:val="0"/>
          <w:sz w:val="28"/>
          <w:szCs w:val="28"/>
        </w:rPr>
        <w:t>和流动性风险，</w:t>
      </w:r>
      <w:bookmarkStart w:id="10" w:name="_Toc177815832"/>
      <w:bookmarkStart w:id="11" w:name="_Toc177815831"/>
      <w:bookmarkStart w:id="12" w:name="_Toc365451714"/>
      <w:bookmarkStart w:id="13" w:name="_Toc247810836"/>
      <w:bookmarkStart w:id="14" w:name="_Toc365446729"/>
      <w:bookmarkStart w:id="15" w:name="_Toc177815676"/>
      <w:bookmarkStart w:id="16" w:name="_Toc177815606"/>
      <w:r>
        <w:rPr>
          <w:rFonts w:hint="eastAsia" w:ascii="仿宋" w:hAnsi="仿宋" w:eastAsia="仿宋"/>
          <w:snapToGrid w:val="0"/>
          <w:kern w:val="0"/>
          <w:sz w:val="28"/>
          <w:szCs w:val="28"/>
        </w:rPr>
        <w:t>并</w:t>
      </w:r>
      <w:r>
        <w:rPr>
          <w:rFonts w:ascii="仿宋" w:hAnsi="仿宋" w:eastAsia="仿宋"/>
          <w:snapToGrid w:val="0"/>
          <w:kern w:val="0"/>
          <w:sz w:val="28"/>
          <w:szCs w:val="28"/>
        </w:rPr>
        <w:t>对投资管理过程中的</w:t>
      </w:r>
      <w:r>
        <w:rPr>
          <w:rFonts w:hint="eastAsia" w:ascii="仿宋" w:hAnsi="仿宋" w:eastAsia="仿宋"/>
          <w:snapToGrid w:val="0"/>
          <w:kern w:val="0"/>
          <w:sz w:val="28"/>
          <w:szCs w:val="28"/>
        </w:rPr>
        <w:t>合规风险进行监督。</w:t>
      </w:r>
    </w:p>
    <w:p>
      <w:pPr>
        <w:pStyle w:val="18"/>
        <w:numPr>
          <w:ilvl w:val="0"/>
          <w:numId w:val="2"/>
        </w:numPr>
        <w:spacing w:line="360" w:lineRule="auto"/>
        <w:ind w:left="0" w:firstLine="567" w:firstLineChars="0"/>
        <w:rPr>
          <w:rFonts w:ascii="仿宋" w:hAnsi="仿宋" w:eastAsia="仿宋"/>
          <w:snapToGrid w:val="0"/>
          <w:kern w:val="0"/>
          <w:sz w:val="28"/>
          <w:szCs w:val="28"/>
        </w:rPr>
      </w:pPr>
      <w:r>
        <w:rPr>
          <w:rFonts w:hint="eastAsia" w:ascii="仿宋" w:hAnsi="仿宋" w:eastAsia="仿宋"/>
          <w:snapToGrid w:val="0"/>
          <w:kern w:val="0"/>
          <w:sz w:val="28"/>
          <w:szCs w:val="28"/>
        </w:rPr>
        <w:t xml:space="preserve"> 基金投资管理过程是：投资原则与投资限制的制定、量化投资模型的开发、投资策略的制定与资产配置、投资组合管理、交易实施、投资表现评估和风险管理。</w:t>
      </w:r>
    </w:p>
    <w:p>
      <w:pPr>
        <w:adjustRightInd w:val="0"/>
        <w:snapToGrid w:val="0"/>
        <w:spacing w:line="360" w:lineRule="auto"/>
        <w:rPr>
          <w:rFonts w:ascii="仿宋" w:hAnsi="仿宋" w:eastAsia="仿宋"/>
          <w:bCs/>
          <w:snapToGrid w:val="0"/>
          <w:color w:val="000000"/>
          <w:kern w:val="0"/>
          <w:sz w:val="28"/>
          <w:szCs w:val="28"/>
        </w:rPr>
      </w:pPr>
      <w:r>
        <w:rPr>
          <w:rFonts w:hint="eastAsia" w:ascii="仿宋" w:hAnsi="仿宋" w:eastAsia="仿宋"/>
          <w:snapToGrid w:val="0"/>
          <w:kern w:val="0"/>
          <w:sz w:val="28"/>
          <w:szCs w:val="28"/>
        </w:rPr>
        <w:t xml:space="preserve">    （一）确定投资原则和投资限制</w:t>
      </w:r>
    </w:p>
    <w:p>
      <w:pPr>
        <w:adjustRightInd w:val="0"/>
        <w:snapToGrid w:val="0"/>
        <w:spacing w:line="360" w:lineRule="auto"/>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投资决策委员会根据国家有关法律法规的规定、基金合同、公司的有关管理制度，确定基金投资的基本政策，包括基本目标、基本原则和投资限制等。</w:t>
      </w:r>
    </w:p>
    <w:p>
      <w:pPr>
        <w:adjustRightInd w:val="0"/>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 xml:space="preserve">    （二）量化投资模型的开发</w:t>
      </w:r>
    </w:p>
    <w:p>
      <w:pPr>
        <w:adjustRightInd w:val="0"/>
        <w:snapToGrid w:val="0"/>
        <w:spacing w:line="360" w:lineRule="auto"/>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进行严谨、科学的研究，通过观察和总结市场的一般性特征，开发稳健、可持续盈利、数据驱动的量化投资策略集。</w:t>
      </w:r>
    </w:p>
    <w:p>
      <w:pPr>
        <w:adjustRightInd w:val="0"/>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 xml:space="preserve">    （三）制定投资策略与资产配置比例</w:t>
      </w:r>
    </w:p>
    <w:p>
      <w:pPr>
        <w:adjustRightInd w:val="0"/>
        <w:snapToGrid w:val="0"/>
        <w:spacing w:line="360" w:lineRule="auto"/>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投资决策委员会综合考虑政治经济、制度规则、及资本市场状况等因素，根据投资者风险偏好、长短期投资目标、原则、限制和研究建议，确定量化投资策略的资金分配原则和最大使用杠杠。</w:t>
      </w:r>
    </w:p>
    <w:p>
      <w:pPr>
        <w:adjustRightInd w:val="0"/>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 xml:space="preserve">    （四）进行投资组合管理</w:t>
      </w:r>
    </w:p>
    <w:p>
      <w:pPr>
        <w:adjustRightInd w:val="0"/>
        <w:snapToGrid w:val="0"/>
        <w:spacing w:line="360" w:lineRule="auto"/>
        <w:ind w:firstLine="560" w:firstLineChars="200"/>
        <w:rPr>
          <w:rFonts w:ascii="仿宋" w:hAnsi="仿宋" w:eastAsia="仿宋"/>
          <w:snapToGrid w:val="0"/>
          <w:kern w:val="0"/>
          <w:sz w:val="28"/>
          <w:szCs w:val="28"/>
        </w:rPr>
      </w:pPr>
      <w:r>
        <w:rPr>
          <w:rFonts w:ascii="仿宋" w:hAnsi="仿宋" w:eastAsia="仿宋"/>
          <w:snapToGrid w:val="0"/>
          <w:kern w:val="0"/>
          <w:sz w:val="28"/>
          <w:szCs w:val="28"/>
        </w:rPr>
        <w:t>在既定的投资战略和投资限制框架内，</w:t>
      </w:r>
      <w:r>
        <w:rPr>
          <w:rFonts w:hint="eastAsia" w:ascii="仿宋" w:hAnsi="仿宋" w:eastAsia="仿宋"/>
          <w:snapToGrid w:val="0"/>
          <w:kern w:val="0"/>
          <w:sz w:val="28"/>
          <w:szCs w:val="28"/>
        </w:rPr>
        <w:t>投资经理</w:t>
      </w:r>
      <w:r>
        <w:rPr>
          <w:rFonts w:ascii="仿宋" w:hAnsi="仿宋" w:eastAsia="仿宋"/>
          <w:snapToGrid w:val="0"/>
          <w:kern w:val="0"/>
          <w:sz w:val="28"/>
          <w:szCs w:val="28"/>
        </w:rPr>
        <w:t>可以自行选择</w:t>
      </w:r>
      <w:r>
        <w:rPr>
          <w:rFonts w:hint="eastAsia" w:ascii="仿宋" w:hAnsi="仿宋" w:eastAsia="仿宋"/>
          <w:snapToGrid w:val="0"/>
          <w:kern w:val="0"/>
          <w:sz w:val="28"/>
          <w:szCs w:val="28"/>
        </w:rPr>
        <w:t>杠杠和</w:t>
      </w:r>
      <w:r>
        <w:rPr>
          <w:rFonts w:ascii="仿宋" w:hAnsi="仿宋" w:eastAsia="仿宋"/>
          <w:snapToGrid w:val="0"/>
          <w:kern w:val="0"/>
          <w:sz w:val="28"/>
          <w:szCs w:val="28"/>
        </w:rPr>
        <w:t>投资</w:t>
      </w:r>
      <w:r>
        <w:rPr>
          <w:rFonts w:hint="eastAsia" w:ascii="仿宋" w:hAnsi="仿宋" w:eastAsia="仿宋"/>
          <w:snapToGrid w:val="0"/>
          <w:kern w:val="0"/>
          <w:sz w:val="28"/>
          <w:szCs w:val="28"/>
        </w:rPr>
        <w:t>策略</w:t>
      </w:r>
      <w:r>
        <w:rPr>
          <w:rFonts w:ascii="仿宋" w:hAnsi="仿宋" w:eastAsia="仿宋"/>
          <w:snapToGrid w:val="0"/>
          <w:kern w:val="0"/>
          <w:sz w:val="28"/>
          <w:szCs w:val="28"/>
        </w:rPr>
        <w:t>组合；在权限范围内，</w:t>
      </w:r>
      <w:r>
        <w:rPr>
          <w:rFonts w:hint="eastAsia" w:ascii="仿宋" w:hAnsi="仿宋" w:eastAsia="仿宋"/>
          <w:snapToGrid w:val="0"/>
          <w:kern w:val="0"/>
          <w:sz w:val="28"/>
          <w:szCs w:val="28"/>
        </w:rPr>
        <w:t>投资经理</w:t>
      </w:r>
      <w:r>
        <w:rPr>
          <w:rFonts w:ascii="仿宋" w:hAnsi="仿宋" w:eastAsia="仿宋"/>
          <w:snapToGrid w:val="0"/>
          <w:kern w:val="0"/>
          <w:sz w:val="28"/>
          <w:szCs w:val="28"/>
        </w:rPr>
        <w:t>可以根据最新市场情况对投资组合进行调整。</w:t>
      </w:r>
      <w:r>
        <w:rPr>
          <w:rFonts w:hint="eastAsia" w:ascii="仿宋" w:hAnsi="仿宋" w:eastAsia="仿宋"/>
          <w:snapToGrid w:val="0"/>
          <w:kern w:val="0"/>
          <w:sz w:val="28"/>
          <w:szCs w:val="28"/>
        </w:rPr>
        <w:t>投资经理欲</w:t>
      </w:r>
      <w:r>
        <w:rPr>
          <w:rFonts w:ascii="仿宋" w:hAnsi="仿宋" w:eastAsia="仿宋"/>
          <w:snapToGrid w:val="0"/>
          <w:kern w:val="0"/>
          <w:sz w:val="28"/>
          <w:szCs w:val="28"/>
        </w:rPr>
        <w:t>调整</w:t>
      </w:r>
      <w:r>
        <w:rPr>
          <w:rFonts w:hint="eastAsia" w:ascii="仿宋" w:hAnsi="仿宋" w:eastAsia="仿宋"/>
          <w:snapToGrid w:val="0"/>
          <w:kern w:val="0"/>
          <w:sz w:val="28"/>
          <w:szCs w:val="28"/>
        </w:rPr>
        <w:t>的</w:t>
      </w:r>
      <w:r>
        <w:rPr>
          <w:rFonts w:ascii="仿宋" w:hAnsi="仿宋" w:eastAsia="仿宋"/>
          <w:snapToGrid w:val="0"/>
          <w:kern w:val="0"/>
          <w:sz w:val="28"/>
          <w:szCs w:val="28"/>
        </w:rPr>
        <w:t>投资范围</w:t>
      </w:r>
      <w:r>
        <w:rPr>
          <w:rFonts w:hint="eastAsia" w:ascii="仿宋" w:hAnsi="仿宋" w:eastAsia="仿宋"/>
          <w:snapToGrid w:val="0"/>
          <w:kern w:val="0"/>
          <w:sz w:val="28"/>
          <w:szCs w:val="28"/>
        </w:rPr>
        <w:t>超出授权范围的，</w:t>
      </w:r>
      <w:r>
        <w:rPr>
          <w:rFonts w:ascii="仿宋" w:hAnsi="仿宋" w:eastAsia="仿宋"/>
          <w:snapToGrid w:val="0"/>
          <w:kern w:val="0"/>
          <w:sz w:val="28"/>
          <w:szCs w:val="28"/>
        </w:rPr>
        <w:t>必须经</w:t>
      </w:r>
      <w:r>
        <w:rPr>
          <w:rFonts w:hint="eastAsia" w:ascii="仿宋" w:hAnsi="仿宋" w:eastAsia="仿宋"/>
          <w:snapToGrid w:val="0"/>
          <w:kern w:val="0"/>
          <w:sz w:val="28"/>
          <w:szCs w:val="28"/>
        </w:rPr>
        <w:t>投资决策委员会</w:t>
      </w:r>
      <w:r>
        <w:rPr>
          <w:rFonts w:ascii="仿宋" w:hAnsi="仿宋" w:eastAsia="仿宋"/>
          <w:snapToGrid w:val="0"/>
          <w:kern w:val="0"/>
          <w:sz w:val="28"/>
          <w:szCs w:val="28"/>
        </w:rPr>
        <w:t>审议通过。</w:t>
      </w:r>
    </w:p>
    <w:p>
      <w:pPr>
        <w:adjustRightInd w:val="0"/>
        <w:snapToGrid w:val="0"/>
        <w:spacing w:line="360" w:lineRule="auto"/>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如果政策、经济因素或资金流动情况发生重大变化，投资经理乃至投资决策委员会应对此做出相应对策，调整原有投资组合。</w:t>
      </w:r>
      <w:bookmarkEnd w:id="10"/>
      <w:bookmarkEnd w:id="11"/>
      <w:bookmarkEnd w:id="12"/>
      <w:bookmarkEnd w:id="13"/>
      <w:bookmarkEnd w:id="14"/>
      <w:bookmarkEnd w:id="15"/>
      <w:bookmarkEnd w:id="16"/>
    </w:p>
    <w:p>
      <w:pPr>
        <w:adjustRightInd w:val="0"/>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 xml:space="preserve">    （五）交易</w:t>
      </w:r>
    </w:p>
    <w:p>
      <w:pPr>
        <w:adjustRightInd w:val="0"/>
        <w:snapToGrid w:val="0"/>
        <w:spacing w:line="360" w:lineRule="auto"/>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一般情况下投资经理</w:t>
      </w:r>
      <w:r>
        <w:rPr>
          <w:rFonts w:ascii="仿宋" w:hAnsi="仿宋" w:eastAsia="仿宋"/>
          <w:snapToGrid w:val="0"/>
          <w:kern w:val="0"/>
          <w:sz w:val="28"/>
          <w:szCs w:val="28"/>
        </w:rPr>
        <w:t>将</w:t>
      </w:r>
      <w:r>
        <w:rPr>
          <w:rFonts w:hint="eastAsia" w:ascii="仿宋" w:hAnsi="仿宋" w:eastAsia="仿宋"/>
          <w:snapToGrid w:val="0"/>
          <w:kern w:val="0"/>
          <w:sz w:val="28"/>
          <w:szCs w:val="28"/>
        </w:rPr>
        <w:t>场内交易</w:t>
      </w:r>
      <w:r>
        <w:rPr>
          <w:rFonts w:ascii="仿宋" w:hAnsi="仿宋" w:eastAsia="仿宋"/>
          <w:snapToGrid w:val="0"/>
          <w:kern w:val="0"/>
          <w:sz w:val="28"/>
          <w:szCs w:val="28"/>
        </w:rPr>
        <w:t>投资指令</w:t>
      </w:r>
      <w:r>
        <w:rPr>
          <w:rFonts w:hint="eastAsia" w:ascii="仿宋" w:hAnsi="仿宋" w:eastAsia="仿宋"/>
          <w:snapToGrid w:val="0"/>
          <w:kern w:val="0"/>
          <w:sz w:val="28"/>
          <w:szCs w:val="28"/>
        </w:rPr>
        <w:t>通过投资交易系统向交易室发出交易委托，场外交易通过指定的专门录音电话</w:t>
      </w:r>
      <w:r>
        <w:rPr>
          <w:rFonts w:ascii="仿宋" w:hAnsi="仿宋" w:eastAsia="仿宋"/>
          <w:snapToGrid w:val="0"/>
          <w:kern w:val="0"/>
          <w:sz w:val="28"/>
          <w:szCs w:val="28"/>
        </w:rPr>
        <w:t>下达交易指令。</w:t>
      </w:r>
      <w:r>
        <w:rPr>
          <w:rFonts w:hint="eastAsia" w:ascii="仿宋" w:hAnsi="仿宋" w:eastAsia="仿宋"/>
          <w:snapToGrid w:val="0"/>
          <w:kern w:val="0"/>
          <w:sz w:val="28"/>
          <w:szCs w:val="28"/>
        </w:rPr>
        <w:t>当交易系统出现意外的情况下，可书面方式下达交易指令。</w:t>
      </w:r>
    </w:p>
    <w:p>
      <w:pPr>
        <w:adjustRightInd w:val="0"/>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 xml:space="preserve">    （六）基金绩效与风险评估</w:t>
      </w:r>
    </w:p>
    <w:p>
      <w:pPr>
        <w:adjustRightInd w:val="0"/>
        <w:snapToGrid w:val="0"/>
        <w:spacing w:line="360" w:lineRule="auto"/>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基金管理部绩效评估人员定期对基金及投资组合的收益率、收益的潜在来源、按风险调整的收益率，投资的特征，风格因子暴露等进行分析评估、将基金实际投资业绩与模拟结果，以及与同行业可类比基金的业绩分别进行比较，定期或根据需要及时有效评价基金运作情况、总结成功的经验与存在的不足，为下一阶段投资工作提供参考。</w:t>
      </w:r>
    </w:p>
    <w:p>
      <w:pPr>
        <w:adjustRightInd w:val="0"/>
        <w:snapToGrid w:val="0"/>
        <w:spacing w:line="360" w:lineRule="auto"/>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基金绩效和风险评估的结果可以作为部门对各投资经理考核的参考，但不代表对各基金考核的最终结果；所有结论和建议对投资经理不具有约束作用。</w:t>
      </w:r>
    </w:p>
    <w:p>
      <w:pPr>
        <w:adjustRightInd w:val="0"/>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 xml:space="preserve">    （七）风险管理</w:t>
      </w:r>
    </w:p>
    <w:p>
      <w:pPr>
        <w:adjustRightInd w:val="0"/>
        <w:snapToGrid w:val="0"/>
        <w:spacing w:line="360" w:lineRule="auto"/>
        <w:ind w:firstLine="700" w:firstLineChars="250"/>
        <w:rPr>
          <w:rFonts w:ascii="仿宋" w:hAnsi="仿宋" w:eastAsia="仿宋"/>
          <w:snapToGrid w:val="0"/>
          <w:kern w:val="0"/>
          <w:sz w:val="28"/>
          <w:szCs w:val="28"/>
        </w:rPr>
      </w:pPr>
      <w:r>
        <w:rPr>
          <w:rFonts w:hint="eastAsia" w:ascii="仿宋" w:hAnsi="仿宋" w:eastAsia="仿宋"/>
          <w:snapToGrid w:val="0"/>
          <w:kern w:val="0"/>
          <w:sz w:val="28"/>
          <w:szCs w:val="28"/>
        </w:rPr>
        <w:t>合规风控部相关人员，按照公司风险控制制度，对投资管理相关行为进行监督和控制，对公平交易的执行情况进行监督；对投资组合进行风险分析，并制作和呈报风险分析报告，向投资决策委员会和投资经理揭示潜在风险的程度和潜在风险的来源，供投资决策和投资组合管理时参考。</w:t>
      </w:r>
    </w:p>
    <w:p>
      <w:pPr>
        <w:adjustRightInd w:val="0"/>
        <w:snapToGrid w:val="0"/>
        <w:spacing w:line="360" w:lineRule="auto"/>
        <w:ind w:firstLine="700" w:firstLineChars="250"/>
        <w:rPr>
          <w:rFonts w:ascii="仿宋" w:hAnsi="仿宋" w:eastAsia="仿宋"/>
          <w:snapToGrid w:val="0"/>
          <w:kern w:val="0"/>
          <w:sz w:val="28"/>
          <w:szCs w:val="28"/>
        </w:rPr>
      </w:pPr>
      <w:r>
        <w:rPr>
          <w:rFonts w:hint="eastAsia" w:ascii="仿宋" w:hAnsi="仿宋" w:eastAsia="仿宋"/>
          <w:snapToGrid w:val="0"/>
          <w:kern w:val="0"/>
          <w:sz w:val="28"/>
          <w:szCs w:val="28"/>
        </w:rPr>
        <w:t>投资决策委员会对风险分析报告提出的风险提示，经核实并据此形成修改投资组合的决议之后，相关投资经理应根据投资决议在规定的期限内，调整投资组合，以符合风险控制的要求。</w:t>
      </w:r>
    </w:p>
    <w:p>
      <w:pPr>
        <w:pStyle w:val="18"/>
        <w:numPr>
          <w:ilvl w:val="0"/>
          <w:numId w:val="2"/>
        </w:numPr>
        <w:adjustRightInd w:val="0"/>
        <w:snapToGrid w:val="0"/>
        <w:spacing w:line="360" w:lineRule="auto"/>
        <w:ind w:left="0" w:firstLine="567" w:firstLineChars="0"/>
        <w:rPr>
          <w:rFonts w:ascii="仿宋" w:hAnsi="仿宋" w:eastAsia="仿宋"/>
          <w:snapToGrid w:val="0"/>
          <w:kern w:val="0"/>
          <w:sz w:val="28"/>
          <w:szCs w:val="28"/>
        </w:rPr>
      </w:pPr>
      <w:r>
        <w:rPr>
          <w:rFonts w:hint="eastAsia" w:ascii="仿宋" w:hAnsi="仿宋" w:eastAsia="仿宋"/>
          <w:snapToGrid w:val="0"/>
          <w:kern w:val="0"/>
          <w:sz w:val="28"/>
          <w:szCs w:val="28"/>
        </w:rPr>
        <w:t xml:space="preserve"> 基金投资管理的决策程序是：投资方案的制定、重要投资方案的论证和审批、投资授权和方案实施、反馈与投资计划调整。</w:t>
      </w:r>
    </w:p>
    <w:p>
      <w:pPr>
        <w:adjustRightInd w:val="0"/>
        <w:snapToGrid w:val="0"/>
        <w:spacing w:line="360" w:lineRule="auto"/>
        <w:jc w:val="center"/>
        <w:rPr>
          <w:rFonts w:ascii="仿宋" w:hAnsi="仿宋" w:eastAsia="仿宋"/>
          <w:b/>
          <w:snapToGrid w:val="0"/>
          <w:kern w:val="0"/>
          <w:sz w:val="28"/>
          <w:szCs w:val="28"/>
        </w:rPr>
      </w:pPr>
      <w:r>
        <w:rPr>
          <w:rFonts w:hint="eastAsia" w:ascii="仿宋" w:hAnsi="仿宋" w:eastAsia="仿宋"/>
          <w:b/>
          <w:snapToGrid w:val="0"/>
          <w:kern w:val="0"/>
          <w:sz w:val="28"/>
          <w:szCs w:val="28"/>
        </w:rPr>
        <w:t>第三章   投资风险控制</w:t>
      </w:r>
    </w:p>
    <w:p>
      <w:pPr>
        <w:pStyle w:val="18"/>
        <w:numPr>
          <w:ilvl w:val="0"/>
          <w:numId w:val="2"/>
        </w:numPr>
        <w:adjustRightInd w:val="0"/>
        <w:snapToGrid w:val="0"/>
        <w:spacing w:line="360" w:lineRule="auto"/>
        <w:ind w:left="0" w:firstLine="567" w:firstLineChars="0"/>
        <w:rPr>
          <w:rFonts w:ascii="仿宋" w:hAnsi="仿宋" w:eastAsia="仿宋"/>
          <w:snapToGrid w:val="0"/>
          <w:kern w:val="0"/>
          <w:sz w:val="28"/>
          <w:szCs w:val="28"/>
        </w:rPr>
      </w:pPr>
      <w:r>
        <w:rPr>
          <w:rFonts w:hint="eastAsia" w:ascii="仿宋" w:hAnsi="仿宋" w:eastAsia="仿宋"/>
          <w:snapToGrid w:val="0"/>
          <w:kern w:val="0"/>
          <w:sz w:val="28"/>
          <w:szCs w:val="28"/>
        </w:rPr>
        <w:t xml:space="preserve"> 风险管理是基金投资管理的重要环节，公司根据投资决策的不同层次建立完善的基金投资风险控制系统。公司合规风控部对基金投资的绩效和风险进行评价，提出风险防范建议，必要时可以提请投资决策委员会召开会议，研判市场风险，对投资计划进行适时、适当调整。公司合规风控部对基金投资的相关制度进行合规性审核，并及时反馈相关信息给投资经理和投资团队、投决会。</w:t>
      </w:r>
    </w:p>
    <w:p>
      <w:pPr>
        <w:pStyle w:val="18"/>
        <w:numPr>
          <w:ilvl w:val="0"/>
          <w:numId w:val="2"/>
        </w:numPr>
        <w:adjustRightInd w:val="0"/>
        <w:snapToGrid w:val="0"/>
        <w:spacing w:line="360" w:lineRule="auto"/>
        <w:ind w:left="0" w:firstLine="567" w:firstLineChars="0"/>
        <w:rPr>
          <w:rFonts w:ascii="仿宋" w:hAnsi="仿宋" w:eastAsia="仿宋"/>
          <w:snapToGrid w:val="0"/>
          <w:kern w:val="0"/>
          <w:sz w:val="28"/>
          <w:szCs w:val="28"/>
        </w:rPr>
      </w:pPr>
      <w:r>
        <w:rPr>
          <w:rFonts w:hint="eastAsia" w:ascii="仿宋" w:hAnsi="仿宋" w:eastAsia="仿宋"/>
          <w:snapToGrid w:val="0"/>
          <w:kern w:val="0"/>
          <w:sz w:val="28"/>
          <w:szCs w:val="28"/>
        </w:rPr>
        <w:t xml:space="preserve"> 基金投资风险的控制遵循“事前防范、事中控制、事后评估”的风险控制程序，以最大程度地保证基金投资业务的正常运作。</w:t>
      </w:r>
    </w:p>
    <w:p>
      <w:pPr>
        <w:adjustRightInd w:val="0"/>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 xml:space="preserve">    （一）基金投资风险的事前防范以组织控制和管理制度建设为基础；</w:t>
      </w:r>
    </w:p>
    <w:p>
      <w:pPr>
        <w:adjustRightInd w:val="0"/>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 xml:space="preserve">    （二）为事前防范基金投资风险，公司制定了合理、完备、有效并易于执行的制度体系。该制度体系分为三个层面：第一层面是公司内部控制制度；第二层面是基金投资基本管理制度以及风险控制基本管理制度；第三层面是基金投资业务团队根据业务需要制定的各种制度及实施细则等。</w:t>
      </w:r>
    </w:p>
    <w:p>
      <w:pPr>
        <w:adjustRightInd w:val="0"/>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 xml:space="preserve">    （三）公司对基金的投资管理环节设置三道监控措施：第一道措施是公司指根据基金投资业务的需要设立相对独立的机构、部门和岗位，投资团队和岗位的设置必须权责分明；第二道措施指投资团队和岗位的设置必须相互牵制、相互监督制衡；第三道措施指公司合规风控部组成公司相对独立的监督系统，对基金投资业务全面实施监督检查。</w:t>
      </w:r>
    </w:p>
    <w:p>
      <w:pPr>
        <w:pStyle w:val="18"/>
        <w:numPr>
          <w:ilvl w:val="0"/>
          <w:numId w:val="2"/>
        </w:numPr>
        <w:adjustRightInd w:val="0"/>
        <w:snapToGrid w:val="0"/>
        <w:spacing w:line="360" w:lineRule="auto"/>
        <w:ind w:left="0" w:firstLine="567" w:firstLineChars="0"/>
        <w:rPr>
          <w:rFonts w:ascii="仿宋" w:hAnsi="仿宋" w:eastAsia="仿宋"/>
          <w:snapToGrid w:val="0"/>
          <w:kern w:val="0"/>
          <w:sz w:val="28"/>
          <w:szCs w:val="28"/>
        </w:rPr>
      </w:pPr>
      <w:r>
        <w:rPr>
          <w:rFonts w:hint="eastAsia" w:ascii="仿宋" w:hAnsi="仿宋" w:eastAsia="仿宋"/>
          <w:snapToGrid w:val="0"/>
          <w:kern w:val="0"/>
          <w:sz w:val="28"/>
          <w:szCs w:val="28"/>
        </w:rPr>
        <w:t xml:space="preserve"> 风险控制职能部门应重点防控投资禁止行为，主要包括：</w:t>
      </w:r>
    </w:p>
    <w:p>
      <w:pPr>
        <w:adjustRightInd w:val="0"/>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 xml:space="preserve">    （一）违反《证券投资基金法》、《私募投资基金监督管理暂行办法》有关禁止行为的规定；</w:t>
      </w:r>
    </w:p>
    <w:p>
      <w:pPr>
        <w:adjustRightInd w:val="0"/>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 xml:space="preserve">    （二）违反法律法规和基金合同关于投资组合比例的限制；</w:t>
      </w:r>
    </w:p>
    <w:p>
      <w:pPr>
        <w:adjustRightInd w:val="0"/>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 xml:space="preserve">    （三）投资于《基金合同》中所限定的投资目标和投资限制以外的品种；</w:t>
      </w:r>
    </w:p>
    <w:p>
      <w:pPr>
        <w:adjustRightInd w:val="0"/>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 xml:space="preserve">    （四）利用内幕信息进行投资活动；</w:t>
      </w:r>
    </w:p>
    <w:p>
      <w:pPr>
        <w:adjustRightInd w:val="0"/>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 xml:space="preserve">    （五）可能导致不公平交易和利益输送的股票同日反向交易。</w:t>
      </w:r>
    </w:p>
    <w:p>
      <w:pPr>
        <w:adjustRightInd w:val="0"/>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 xml:space="preserve">    （六）通过单独或合谋，集中资金优势、持股优势或者利用信息优势联合或者连续买卖，操纵证券交易价格；</w:t>
      </w:r>
    </w:p>
    <w:p>
      <w:pPr>
        <w:adjustRightInd w:val="0"/>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 xml:space="preserve">    （七）与他人串通，以事先约定的时间、价格和方式进行交易；</w:t>
      </w:r>
    </w:p>
    <w:p>
      <w:pPr>
        <w:adjustRightInd w:val="0"/>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 xml:space="preserve">    （八）以其他方式操纵证券交易价格；</w:t>
      </w:r>
    </w:p>
    <w:p>
      <w:pPr>
        <w:adjustRightInd w:val="0"/>
        <w:snapToGrid w:val="0"/>
        <w:spacing w:line="360" w:lineRule="auto"/>
        <w:ind w:firstLine="555"/>
        <w:rPr>
          <w:rFonts w:ascii="仿宋" w:hAnsi="仿宋" w:eastAsia="仿宋"/>
          <w:snapToGrid w:val="0"/>
          <w:kern w:val="0"/>
          <w:sz w:val="28"/>
          <w:szCs w:val="28"/>
        </w:rPr>
      </w:pPr>
      <w:r>
        <w:rPr>
          <w:rFonts w:hint="eastAsia" w:ascii="仿宋" w:hAnsi="仿宋" w:eastAsia="仿宋"/>
          <w:snapToGrid w:val="0"/>
          <w:kern w:val="0"/>
          <w:sz w:val="28"/>
          <w:szCs w:val="28"/>
        </w:rPr>
        <w:t>（九）通过关联交易损害投资者的利益；</w:t>
      </w:r>
    </w:p>
    <w:p>
      <w:pPr>
        <w:adjustRightInd w:val="0"/>
        <w:snapToGrid w:val="0"/>
        <w:spacing w:line="360" w:lineRule="auto"/>
        <w:ind w:firstLine="555"/>
        <w:rPr>
          <w:rFonts w:ascii="仿宋" w:hAnsi="仿宋" w:eastAsia="仿宋"/>
          <w:snapToGrid w:val="0"/>
          <w:kern w:val="0"/>
          <w:sz w:val="28"/>
          <w:szCs w:val="28"/>
        </w:rPr>
      </w:pPr>
      <w:r>
        <w:rPr>
          <w:rFonts w:hint="eastAsia" w:ascii="仿宋" w:hAnsi="仿宋" w:eastAsia="仿宋"/>
          <w:snapToGrid w:val="0"/>
          <w:kern w:val="0"/>
          <w:sz w:val="28"/>
          <w:szCs w:val="28"/>
        </w:rPr>
        <w:t>（十）以洗钱为目的的高频交易；</w:t>
      </w:r>
    </w:p>
    <w:p>
      <w:pPr>
        <w:adjustRightInd w:val="0"/>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 xml:space="preserve">    （十一）任何人员未经授权或批准穿越部室之间的防火墙；</w:t>
      </w:r>
    </w:p>
    <w:p>
      <w:pPr>
        <w:adjustRightInd w:val="0"/>
        <w:snapToGrid w:val="0"/>
        <w:spacing w:line="360" w:lineRule="auto"/>
        <w:ind w:firstLine="555"/>
        <w:rPr>
          <w:rFonts w:ascii="仿宋" w:hAnsi="仿宋" w:eastAsia="仿宋"/>
          <w:snapToGrid w:val="0"/>
          <w:kern w:val="0"/>
          <w:sz w:val="28"/>
          <w:szCs w:val="28"/>
        </w:rPr>
      </w:pPr>
      <w:r>
        <w:rPr>
          <w:rFonts w:hint="eastAsia" w:ascii="仿宋" w:hAnsi="仿宋" w:eastAsia="仿宋"/>
          <w:snapToGrid w:val="0"/>
          <w:kern w:val="0"/>
          <w:sz w:val="28"/>
          <w:szCs w:val="28"/>
        </w:rPr>
        <w:t>（十二）为了取得受托资金，在账外暗中向委托单位、其他单位或者个人直接或间接支付金额较大的现金、实物或其他利益。</w:t>
      </w:r>
    </w:p>
    <w:p>
      <w:pPr>
        <w:adjustRightInd w:val="0"/>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 xml:space="preserve">    （十三）国家法律、法规和中国证监会禁止的其他行为；</w:t>
      </w:r>
    </w:p>
    <w:p>
      <w:pPr>
        <w:pStyle w:val="18"/>
        <w:numPr>
          <w:ilvl w:val="0"/>
          <w:numId w:val="2"/>
        </w:numPr>
        <w:adjustRightInd w:val="0"/>
        <w:snapToGrid w:val="0"/>
        <w:spacing w:line="360" w:lineRule="auto"/>
        <w:ind w:hanging="573" w:firstLineChars="0"/>
        <w:rPr>
          <w:rFonts w:ascii="仿宋" w:hAnsi="仿宋" w:eastAsia="仿宋"/>
          <w:snapToGrid w:val="0"/>
          <w:kern w:val="0"/>
          <w:sz w:val="28"/>
          <w:szCs w:val="28"/>
        </w:rPr>
      </w:pPr>
      <w:r>
        <w:rPr>
          <w:rFonts w:hint="eastAsia" w:ascii="仿宋" w:hAnsi="仿宋" w:eastAsia="仿宋"/>
          <w:snapToGrid w:val="0"/>
          <w:kern w:val="0"/>
          <w:sz w:val="28"/>
          <w:szCs w:val="28"/>
        </w:rPr>
        <w:t xml:space="preserve">  基金投资业务过程中必须严格遵守以下规定：</w:t>
      </w:r>
    </w:p>
    <w:p>
      <w:pPr>
        <w:adjustRightInd w:val="0"/>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 xml:space="preserve">    (一)  严格执行业务操作规则，按照标准化的业务操作流程进行操作；</w:t>
      </w:r>
    </w:p>
    <w:p>
      <w:pPr>
        <w:adjustRightInd w:val="0"/>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 xml:space="preserve">    (二)  实行严格的前台与后台责任分离制度；</w:t>
      </w:r>
    </w:p>
    <w:p>
      <w:pPr>
        <w:adjustRightInd w:val="0"/>
        <w:snapToGrid w:val="0"/>
        <w:spacing w:line="360" w:lineRule="auto"/>
        <w:ind w:firstLine="555"/>
        <w:rPr>
          <w:rFonts w:ascii="仿宋" w:hAnsi="仿宋" w:eastAsia="仿宋"/>
          <w:snapToGrid w:val="0"/>
          <w:kern w:val="0"/>
          <w:sz w:val="28"/>
          <w:szCs w:val="28"/>
        </w:rPr>
      </w:pPr>
      <w:r>
        <w:rPr>
          <w:rFonts w:hint="eastAsia" w:ascii="仿宋" w:hAnsi="仿宋" w:eastAsia="仿宋"/>
          <w:snapToGrid w:val="0"/>
          <w:kern w:val="0"/>
          <w:sz w:val="28"/>
          <w:szCs w:val="28"/>
        </w:rPr>
        <w:t>(三)  实行严格的信息分级管理、保密制度；</w:t>
      </w:r>
    </w:p>
    <w:p>
      <w:pPr>
        <w:adjustRightInd w:val="0"/>
        <w:snapToGrid w:val="0"/>
        <w:spacing w:line="360" w:lineRule="auto"/>
        <w:ind w:firstLine="555"/>
        <w:rPr>
          <w:rFonts w:ascii="仿宋" w:hAnsi="仿宋" w:eastAsia="仿宋"/>
          <w:snapToGrid w:val="0"/>
          <w:kern w:val="0"/>
          <w:sz w:val="28"/>
          <w:szCs w:val="28"/>
        </w:rPr>
      </w:pPr>
      <w:r>
        <w:rPr>
          <w:rFonts w:hint="eastAsia" w:ascii="仿宋" w:hAnsi="仿宋" w:eastAsia="仿宋"/>
          <w:snapToGrid w:val="0"/>
          <w:kern w:val="0"/>
          <w:sz w:val="28"/>
          <w:szCs w:val="28"/>
        </w:rPr>
        <w:t>(四)  实行分级授权管理制度，员工的作业范围都必须经过主管领导的业务授权；</w:t>
      </w:r>
    </w:p>
    <w:p>
      <w:pPr>
        <w:adjustRightInd w:val="0"/>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 xml:space="preserve">    (五)  严格执行风险控制制度，业务经办过程中一旦出现风险情况应立即通过报告程序向上报告。</w:t>
      </w:r>
    </w:p>
    <w:p>
      <w:pPr>
        <w:adjustRightInd w:val="0"/>
        <w:snapToGrid w:val="0"/>
        <w:spacing w:line="360" w:lineRule="auto"/>
        <w:ind w:firstLine="562" w:firstLineChars="200"/>
        <w:jc w:val="center"/>
        <w:rPr>
          <w:rFonts w:ascii="仿宋" w:hAnsi="仿宋" w:eastAsia="仿宋"/>
          <w:b/>
          <w:snapToGrid w:val="0"/>
          <w:kern w:val="0"/>
          <w:sz w:val="28"/>
          <w:szCs w:val="28"/>
        </w:rPr>
      </w:pPr>
      <w:r>
        <w:rPr>
          <w:rFonts w:hint="eastAsia" w:ascii="仿宋" w:hAnsi="仿宋" w:eastAsia="仿宋"/>
          <w:b/>
          <w:snapToGrid w:val="0"/>
          <w:kern w:val="0"/>
          <w:sz w:val="28"/>
          <w:szCs w:val="28"/>
        </w:rPr>
        <w:t>第四章   投资保障配套措施</w:t>
      </w:r>
    </w:p>
    <w:p>
      <w:pPr>
        <w:pStyle w:val="18"/>
        <w:numPr>
          <w:ilvl w:val="0"/>
          <w:numId w:val="2"/>
        </w:numPr>
        <w:adjustRightInd w:val="0"/>
        <w:snapToGrid w:val="0"/>
        <w:spacing w:line="360" w:lineRule="auto"/>
        <w:ind w:left="0" w:firstLine="567" w:firstLineChars="0"/>
        <w:rPr>
          <w:rFonts w:ascii="仿宋" w:hAnsi="仿宋" w:eastAsia="仿宋"/>
          <w:snapToGrid w:val="0"/>
          <w:kern w:val="0"/>
          <w:sz w:val="28"/>
          <w:szCs w:val="28"/>
        </w:rPr>
      </w:pPr>
      <w:r>
        <w:rPr>
          <w:rFonts w:hint="eastAsia" w:ascii="仿宋" w:hAnsi="仿宋" w:eastAsia="仿宋"/>
          <w:snapToGrid w:val="0"/>
          <w:kern w:val="0"/>
          <w:sz w:val="28"/>
          <w:szCs w:val="28"/>
        </w:rPr>
        <w:t>公司合规风控部应牵头</w:t>
      </w:r>
      <w:r>
        <w:rPr>
          <w:rFonts w:ascii="仿宋" w:hAnsi="仿宋" w:eastAsia="仿宋"/>
          <w:snapToGrid w:val="0"/>
          <w:kern w:val="0"/>
          <w:sz w:val="28"/>
          <w:szCs w:val="28"/>
        </w:rPr>
        <w:t>制定、完善基金投资交易业务的标准化流程。注意流程在各部门之间的衔接和监控，并要有标准化的书面凭证。</w:t>
      </w:r>
    </w:p>
    <w:p>
      <w:pPr>
        <w:pStyle w:val="18"/>
        <w:numPr>
          <w:ilvl w:val="0"/>
          <w:numId w:val="2"/>
        </w:numPr>
        <w:adjustRightInd w:val="0"/>
        <w:snapToGrid w:val="0"/>
        <w:spacing w:line="360" w:lineRule="auto"/>
        <w:ind w:left="0" w:firstLine="567" w:firstLineChars="0"/>
        <w:rPr>
          <w:rFonts w:ascii="仿宋" w:hAnsi="仿宋" w:eastAsia="仿宋"/>
          <w:sz w:val="28"/>
          <w:szCs w:val="28"/>
        </w:rPr>
      </w:pPr>
      <w:r>
        <w:rPr>
          <w:rFonts w:hint="eastAsia" w:ascii="仿宋" w:hAnsi="仿宋" w:eastAsia="仿宋"/>
          <w:snapToGrid w:val="0"/>
          <w:kern w:val="0"/>
          <w:sz w:val="28"/>
          <w:szCs w:val="28"/>
        </w:rPr>
        <w:t>公司合规风控部应牵头</w:t>
      </w:r>
      <w:r>
        <w:rPr>
          <w:rFonts w:ascii="仿宋" w:hAnsi="仿宋" w:eastAsia="仿宋"/>
          <w:snapToGrid w:val="0"/>
          <w:kern w:val="0"/>
          <w:sz w:val="28"/>
          <w:szCs w:val="28"/>
        </w:rPr>
        <w:t>建立基金投资业务保密制度。从投资策</w:t>
      </w:r>
      <w:r>
        <w:rPr>
          <w:rFonts w:ascii="仿宋" w:hAnsi="仿宋" w:eastAsia="仿宋"/>
          <w:sz w:val="28"/>
          <w:szCs w:val="28"/>
        </w:rPr>
        <w:t>划到具体操作至结束全过程实行严格的保密和隔离制度。基金经理、交易人员及其他知晓投资情况的人员不得向公司内外无关人员透露投资信息，有关投资的相关文件和资料应妥善保管和传递，并要求相关人员签署保密协定。建立内部信息控制制度和设立防火墙。基金投资管理中的核心信息是与投资决策的制定和执行相关的信息，公司采取空间隔离和门禁制度，严格控制这类信息的传播。</w:t>
      </w:r>
    </w:p>
    <w:p>
      <w:pPr>
        <w:pStyle w:val="18"/>
        <w:numPr>
          <w:ilvl w:val="0"/>
          <w:numId w:val="2"/>
        </w:numPr>
        <w:adjustRightInd w:val="0"/>
        <w:snapToGrid w:val="0"/>
        <w:spacing w:line="360" w:lineRule="auto"/>
        <w:ind w:left="0" w:firstLine="567" w:firstLineChars="0"/>
        <w:rPr>
          <w:rFonts w:ascii="仿宋" w:hAnsi="仿宋" w:eastAsia="仿宋"/>
          <w:snapToGrid w:val="0"/>
          <w:kern w:val="0"/>
          <w:sz w:val="28"/>
          <w:szCs w:val="28"/>
        </w:rPr>
      </w:pPr>
      <w:r>
        <w:rPr>
          <w:rFonts w:hint="eastAsia" w:ascii="仿宋" w:hAnsi="仿宋" w:eastAsia="仿宋"/>
          <w:snapToGrid w:val="0"/>
          <w:kern w:val="0"/>
          <w:sz w:val="28"/>
          <w:szCs w:val="28"/>
        </w:rPr>
        <w:t>公司合规风控部应牵头</w:t>
      </w:r>
      <w:r>
        <w:rPr>
          <w:rFonts w:ascii="仿宋" w:hAnsi="仿宋" w:eastAsia="仿宋"/>
          <w:snapToGrid w:val="0"/>
          <w:kern w:val="0"/>
          <w:sz w:val="28"/>
          <w:szCs w:val="28"/>
        </w:rPr>
        <w:t>建立系统安全制度。公司严禁一个人同时掌握投资交易系统的维护口令和操作口令；严禁由一人完成应当至少由两个人分别完成的工作，实现岗位之间的相互监督。</w:t>
      </w:r>
    </w:p>
    <w:p>
      <w:pPr>
        <w:pStyle w:val="18"/>
        <w:numPr>
          <w:ilvl w:val="0"/>
          <w:numId w:val="2"/>
        </w:numPr>
        <w:adjustRightInd w:val="0"/>
        <w:snapToGrid w:val="0"/>
        <w:spacing w:line="360" w:lineRule="auto"/>
        <w:ind w:left="0" w:firstLine="567" w:firstLineChars="0"/>
        <w:rPr>
          <w:rFonts w:ascii="仿宋" w:hAnsi="仿宋" w:eastAsia="仿宋"/>
          <w:snapToGrid w:val="0"/>
          <w:kern w:val="0"/>
          <w:sz w:val="28"/>
          <w:szCs w:val="28"/>
        </w:rPr>
      </w:pPr>
      <w:r>
        <w:rPr>
          <w:rFonts w:hint="eastAsia" w:ascii="仿宋" w:hAnsi="仿宋" w:eastAsia="仿宋"/>
          <w:snapToGrid w:val="0"/>
          <w:kern w:val="0"/>
          <w:sz w:val="28"/>
          <w:szCs w:val="28"/>
        </w:rPr>
        <w:t>公司合规风控部应牵头</w:t>
      </w:r>
      <w:r>
        <w:rPr>
          <w:rFonts w:ascii="仿宋" w:hAnsi="仿宋" w:eastAsia="仿宋"/>
          <w:snapToGrid w:val="0"/>
          <w:kern w:val="0"/>
          <w:sz w:val="28"/>
          <w:szCs w:val="28"/>
        </w:rPr>
        <w:t>建立投资交易资料保管制度。各业务部门应指定专人妥善保管各类投资交易资料，包括调研报告，书面投资指令、执行结果等，</w:t>
      </w:r>
      <w:r>
        <w:rPr>
          <w:rFonts w:hint="eastAsia" w:ascii="仿宋" w:hAnsi="仿宋" w:eastAsia="仿宋"/>
          <w:snapToGrid w:val="0"/>
          <w:kern w:val="0"/>
          <w:sz w:val="28"/>
          <w:szCs w:val="28"/>
        </w:rPr>
        <w:t>公司合规部门</w:t>
      </w:r>
      <w:r>
        <w:rPr>
          <w:rFonts w:ascii="仿宋" w:hAnsi="仿宋" w:eastAsia="仿宋"/>
          <w:snapToGrid w:val="0"/>
          <w:kern w:val="0"/>
          <w:sz w:val="28"/>
          <w:szCs w:val="28"/>
        </w:rPr>
        <w:t>应定期对其进行检查。</w:t>
      </w:r>
    </w:p>
    <w:p>
      <w:pPr>
        <w:pStyle w:val="3"/>
        <w:spacing w:line="360" w:lineRule="auto"/>
        <w:ind w:firstLine="420"/>
        <w:rPr>
          <w:rFonts w:ascii="仿宋" w:hAnsi="仿宋" w:eastAsia="仿宋"/>
          <w:sz w:val="28"/>
          <w:szCs w:val="28"/>
        </w:rPr>
      </w:pPr>
      <w:r>
        <w:rPr>
          <w:rFonts w:hint="eastAsia" w:ascii="仿宋" w:hAnsi="仿宋" w:eastAsia="仿宋"/>
          <w:b/>
          <w:sz w:val="28"/>
          <w:szCs w:val="28"/>
        </w:rPr>
        <w:t xml:space="preserve"> 第十五条  </w:t>
      </w:r>
      <w:r>
        <w:rPr>
          <w:rFonts w:hint="eastAsia" w:ascii="仿宋" w:hAnsi="仿宋" w:eastAsia="仿宋"/>
          <w:snapToGrid w:val="0"/>
          <w:kern w:val="0"/>
          <w:sz w:val="28"/>
          <w:szCs w:val="28"/>
        </w:rPr>
        <w:t>公司合规风控部</w:t>
      </w:r>
      <w:r>
        <w:rPr>
          <w:rFonts w:ascii="仿宋" w:hAnsi="仿宋" w:eastAsia="仿宋"/>
          <w:sz w:val="28"/>
          <w:szCs w:val="28"/>
        </w:rPr>
        <w:t>建立基金投资绩效评价、投资风险评估制度。风险管理委员会负责对基金运作和基金经理提交的投资组合方案进行风险评估，并定期对基金每个阶段的业绩作出评价；同时，基金经理须定期向投资决策委员会提交投资检讨报告，总结成败得失，促进投资管理水平不断提高。</w:t>
      </w:r>
    </w:p>
    <w:p>
      <w:pPr>
        <w:pStyle w:val="3"/>
        <w:spacing w:line="360" w:lineRule="auto"/>
        <w:rPr>
          <w:rFonts w:ascii="仿宋" w:hAnsi="仿宋" w:eastAsia="仿宋"/>
          <w:sz w:val="28"/>
          <w:szCs w:val="28"/>
        </w:rPr>
      </w:pPr>
      <w:r>
        <w:rPr>
          <w:rFonts w:hint="eastAsia" w:ascii="仿宋" w:hAnsi="仿宋" w:eastAsia="仿宋"/>
          <w:b/>
          <w:sz w:val="28"/>
          <w:szCs w:val="28"/>
        </w:rPr>
        <w:t xml:space="preserve">    第十六条 </w:t>
      </w:r>
      <w:r>
        <w:rPr>
          <w:rFonts w:hint="eastAsia" w:ascii="仿宋" w:hAnsi="仿宋" w:eastAsia="仿宋"/>
          <w:sz w:val="28"/>
          <w:szCs w:val="28"/>
        </w:rPr>
        <w:t xml:space="preserve"> </w:t>
      </w:r>
      <w:r>
        <w:rPr>
          <w:rFonts w:hint="eastAsia" w:ascii="仿宋" w:hAnsi="仿宋" w:eastAsia="仿宋"/>
          <w:snapToGrid w:val="0"/>
          <w:kern w:val="0"/>
          <w:sz w:val="28"/>
          <w:szCs w:val="28"/>
        </w:rPr>
        <w:t>公司合规风控部</w:t>
      </w:r>
      <w:r>
        <w:rPr>
          <w:rFonts w:ascii="仿宋" w:hAnsi="仿宋" w:eastAsia="仿宋"/>
          <w:sz w:val="28"/>
          <w:szCs w:val="28"/>
        </w:rPr>
        <w:t>建立金融创新、产品开发的标准流程并设置相应的控制制度。公司应在审慎经营和合法规范的基础上力求金融创新。在充分论证的前提下周密考虑金融创新品种或业务的法律性质、操作程序、经济后果等，严格控制新品种、新业务的法律风险和运行风险。</w:t>
      </w:r>
    </w:p>
    <w:p>
      <w:pPr>
        <w:pStyle w:val="3"/>
        <w:tabs>
          <w:tab w:val="left" w:pos="360"/>
        </w:tabs>
        <w:spacing w:line="360" w:lineRule="auto"/>
        <w:rPr>
          <w:rFonts w:ascii="仿宋" w:hAnsi="仿宋" w:eastAsia="仿宋"/>
          <w:sz w:val="28"/>
          <w:szCs w:val="28"/>
        </w:rPr>
      </w:pPr>
      <w:r>
        <w:rPr>
          <w:rFonts w:hint="eastAsia" w:ascii="仿宋" w:hAnsi="仿宋" w:eastAsia="仿宋"/>
          <w:b/>
          <w:sz w:val="28"/>
          <w:szCs w:val="28"/>
        </w:rPr>
        <w:t xml:space="preserve">    第十七条 </w:t>
      </w:r>
      <w:r>
        <w:rPr>
          <w:rFonts w:hint="eastAsia" w:ascii="仿宋" w:hAnsi="仿宋" w:eastAsia="仿宋"/>
          <w:sz w:val="28"/>
          <w:szCs w:val="28"/>
        </w:rPr>
        <w:t xml:space="preserve"> </w:t>
      </w:r>
      <w:r>
        <w:rPr>
          <w:rFonts w:hint="eastAsia" w:ascii="仿宋" w:hAnsi="仿宋" w:eastAsia="仿宋"/>
          <w:snapToGrid w:val="0"/>
          <w:kern w:val="0"/>
          <w:sz w:val="28"/>
          <w:szCs w:val="28"/>
        </w:rPr>
        <w:t>公司合规风控部</w:t>
      </w:r>
      <w:r>
        <w:rPr>
          <w:rFonts w:ascii="仿宋" w:hAnsi="仿宋" w:eastAsia="仿宋"/>
          <w:sz w:val="28"/>
          <w:szCs w:val="28"/>
        </w:rPr>
        <w:t>建立防范员工道德风险的有关制度。包括重要岗位员工签订保证为投资者谋取最大利益的自律声明书等、建立重要岗位的轮岗制度、强制休假制度、交叉检查制度、随机抽查制度。</w:t>
      </w:r>
    </w:p>
    <w:p>
      <w:pPr>
        <w:pStyle w:val="3"/>
        <w:tabs>
          <w:tab w:val="left" w:pos="360"/>
        </w:tabs>
        <w:spacing w:line="360" w:lineRule="auto"/>
        <w:rPr>
          <w:rFonts w:ascii="仿宋" w:hAnsi="仿宋" w:eastAsia="仿宋"/>
          <w:sz w:val="28"/>
          <w:szCs w:val="28"/>
        </w:rPr>
      </w:pPr>
      <w:r>
        <w:rPr>
          <w:rFonts w:hint="eastAsia" w:ascii="仿宋" w:hAnsi="仿宋" w:eastAsia="仿宋"/>
          <w:b/>
          <w:sz w:val="28"/>
          <w:szCs w:val="28"/>
        </w:rPr>
        <w:t xml:space="preserve">    第十八条</w:t>
      </w:r>
      <w:r>
        <w:rPr>
          <w:rFonts w:hint="eastAsia" w:ascii="仿宋" w:hAnsi="仿宋" w:eastAsia="仿宋"/>
          <w:sz w:val="28"/>
          <w:szCs w:val="28"/>
        </w:rPr>
        <w:t xml:space="preserve">  </w:t>
      </w:r>
      <w:r>
        <w:rPr>
          <w:rFonts w:hint="eastAsia" w:ascii="仿宋" w:hAnsi="仿宋" w:eastAsia="仿宋"/>
          <w:snapToGrid w:val="0"/>
          <w:kern w:val="0"/>
          <w:sz w:val="28"/>
          <w:szCs w:val="28"/>
        </w:rPr>
        <w:t>公司合规风控部</w:t>
      </w:r>
      <w:r>
        <w:rPr>
          <w:rFonts w:ascii="仿宋" w:hAnsi="仿宋" w:eastAsia="仿宋"/>
          <w:sz w:val="28"/>
          <w:szCs w:val="28"/>
        </w:rPr>
        <w:t>建立投资交易行为禁止制度。包括交易室的门禁制度、交易室信息处理禁止制度、基金经理投资行为禁止制度和交易员交易行为禁止制度等。</w:t>
      </w:r>
    </w:p>
    <w:p>
      <w:pPr>
        <w:adjustRightInd w:val="0"/>
        <w:snapToGrid w:val="0"/>
        <w:spacing w:line="360" w:lineRule="auto"/>
        <w:jc w:val="center"/>
        <w:rPr>
          <w:rFonts w:ascii="仿宋" w:hAnsi="仿宋" w:eastAsia="仿宋"/>
          <w:sz w:val="28"/>
          <w:szCs w:val="28"/>
        </w:rPr>
      </w:pPr>
      <w:bookmarkStart w:id="17" w:name="_Toc247810844"/>
      <w:bookmarkStart w:id="18" w:name="_Toc177815837"/>
      <w:bookmarkStart w:id="19" w:name="_Toc365446738"/>
      <w:bookmarkStart w:id="20" w:name="_Toc365451724"/>
      <w:r>
        <w:rPr>
          <w:rFonts w:hint="eastAsia" w:ascii="仿宋" w:hAnsi="仿宋" w:eastAsia="仿宋"/>
          <w:b/>
          <w:snapToGrid w:val="0"/>
          <w:kern w:val="0"/>
          <w:sz w:val="28"/>
          <w:szCs w:val="28"/>
        </w:rPr>
        <w:t>第五章</w:t>
      </w:r>
      <w:bookmarkStart w:id="21" w:name="_Toc177815838"/>
      <w:bookmarkStart w:id="22" w:name="_Toc309833685"/>
      <w:bookmarkStart w:id="23" w:name="_Toc76759258"/>
      <w:bookmarkStart w:id="24" w:name="_Toc177815683"/>
      <w:bookmarkStart w:id="25" w:name="_Toc247810845"/>
      <w:bookmarkEnd w:id="17"/>
      <w:bookmarkEnd w:id="18"/>
      <w:bookmarkEnd w:id="19"/>
      <w:bookmarkEnd w:id="20"/>
      <w:r>
        <w:rPr>
          <w:rFonts w:hint="eastAsia" w:ascii="仿宋" w:hAnsi="仿宋" w:eastAsia="仿宋"/>
          <w:b/>
          <w:snapToGrid w:val="0"/>
          <w:kern w:val="0"/>
          <w:sz w:val="28"/>
          <w:szCs w:val="28"/>
        </w:rPr>
        <w:t xml:space="preserve">   附则</w:t>
      </w:r>
    </w:p>
    <w:bookmarkEnd w:id="21"/>
    <w:bookmarkEnd w:id="22"/>
    <w:bookmarkEnd w:id="23"/>
    <w:bookmarkEnd w:id="24"/>
    <w:bookmarkEnd w:id="25"/>
    <w:p>
      <w:pPr>
        <w:tabs>
          <w:tab w:val="left" w:pos="1620"/>
        </w:tabs>
        <w:spacing w:line="360" w:lineRule="auto"/>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b/>
          <w:sz w:val="28"/>
          <w:szCs w:val="28"/>
        </w:rPr>
        <w:t xml:space="preserve">第十九条 </w:t>
      </w:r>
      <w:r>
        <w:rPr>
          <w:rFonts w:hint="eastAsia" w:ascii="仿宋" w:hAnsi="仿宋" w:eastAsia="仿宋"/>
          <w:sz w:val="28"/>
          <w:szCs w:val="28"/>
        </w:rPr>
        <w:t xml:space="preserve"> 本制度由</w:t>
      </w:r>
      <w:r>
        <w:rPr>
          <w:rFonts w:hint="eastAsia" w:ascii="仿宋" w:hAnsi="仿宋" w:eastAsia="仿宋"/>
          <w:snapToGrid w:val="0"/>
          <w:kern w:val="0"/>
          <w:sz w:val="28"/>
          <w:szCs w:val="28"/>
        </w:rPr>
        <w:t>公司投资研究部</w:t>
      </w:r>
      <w:r>
        <w:rPr>
          <w:rFonts w:hint="eastAsia" w:ascii="仿宋" w:hAnsi="仿宋" w:eastAsia="仿宋"/>
          <w:bCs/>
          <w:sz w:val="28"/>
          <w:szCs w:val="28"/>
        </w:rPr>
        <w:t>负责</w:t>
      </w:r>
      <w:r>
        <w:rPr>
          <w:rFonts w:hint="eastAsia" w:ascii="仿宋" w:hAnsi="仿宋" w:eastAsia="仿宋"/>
          <w:sz w:val="28"/>
          <w:szCs w:val="28"/>
        </w:rPr>
        <w:t>制定、修订与解释。</w:t>
      </w:r>
    </w:p>
    <w:p>
      <w:pPr>
        <w:tabs>
          <w:tab w:val="left" w:pos="1620"/>
        </w:tabs>
        <w:spacing w:line="360" w:lineRule="auto"/>
        <w:ind w:firstLine="562"/>
        <w:rPr>
          <w:rFonts w:hint="eastAsia" w:ascii="仿宋" w:hAnsi="仿宋" w:eastAsia="仿宋"/>
          <w:snapToGrid w:val="0"/>
          <w:kern w:val="0"/>
          <w:sz w:val="28"/>
          <w:szCs w:val="28"/>
        </w:rPr>
      </w:pPr>
      <w:r>
        <w:rPr>
          <w:rFonts w:hint="eastAsia" w:ascii="仿宋" w:hAnsi="仿宋" w:eastAsia="仿宋"/>
          <w:b/>
          <w:sz w:val="28"/>
          <w:szCs w:val="28"/>
        </w:rPr>
        <w:t>第二十条</w:t>
      </w:r>
      <w:r>
        <w:rPr>
          <w:rFonts w:hint="eastAsia" w:ascii="仿宋" w:hAnsi="仿宋" w:eastAsia="仿宋"/>
          <w:sz w:val="28"/>
          <w:szCs w:val="28"/>
        </w:rPr>
        <w:t xml:space="preserve">  </w:t>
      </w:r>
      <w:r>
        <w:rPr>
          <w:rFonts w:hint="eastAsia" w:ascii="仿宋" w:hAnsi="仿宋" w:eastAsia="仿宋"/>
          <w:bCs/>
          <w:sz w:val="28"/>
          <w:szCs w:val="28"/>
        </w:rPr>
        <w:t>本</w:t>
      </w:r>
      <w:r>
        <w:rPr>
          <w:rFonts w:hint="eastAsia" w:ascii="仿宋" w:hAnsi="仿宋" w:eastAsia="仿宋"/>
          <w:snapToGrid w:val="0"/>
          <w:kern w:val="0"/>
          <w:sz w:val="28"/>
          <w:szCs w:val="28"/>
        </w:rPr>
        <w:t>制度自发布之日起施行。</w:t>
      </w:r>
    </w:p>
    <w:p>
      <w:pPr>
        <w:tabs>
          <w:tab w:val="left" w:pos="1620"/>
        </w:tabs>
        <w:spacing w:line="360" w:lineRule="auto"/>
        <w:ind w:firstLine="562"/>
        <w:rPr>
          <w:rFonts w:hint="eastAsia" w:ascii="仿宋" w:hAnsi="仿宋" w:eastAsia="仿宋"/>
          <w:snapToGrid w:val="0"/>
          <w:kern w:val="0"/>
          <w:sz w:val="28"/>
          <w:szCs w:val="28"/>
        </w:rPr>
      </w:pPr>
    </w:p>
    <w:p>
      <w:pPr>
        <w:tabs>
          <w:tab w:val="left" w:pos="1620"/>
        </w:tabs>
        <w:spacing w:line="360" w:lineRule="auto"/>
        <w:ind w:firstLine="562"/>
        <w:rPr>
          <w:rFonts w:hint="eastAsia" w:ascii="仿宋" w:hAnsi="仿宋" w:eastAsia="仿宋"/>
          <w:snapToGrid w:val="0"/>
          <w:kern w:val="0"/>
          <w:sz w:val="28"/>
          <w:szCs w:val="28"/>
        </w:rPr>
      </w:pPr>
    </w:p>
    <w:p>
      <w:pPr>
        <w:tabs>
          <w:tab w:val="left" w:pos="1620"/>
        </w:tabs>
        <w:spacing w:line="360" w:lineRule="auto"/>
        <w:ind w:firstLine="562"/>
        <w:rPr>
          <w:rFonts w:hint="eastAsia" w:ascii="仿宋" w:hAnsi="仿宋" w:eastAsia="仿宋"/>
          <w:snapToGrid w:val="0"/>
          <w:kern w:val="0"/>
          <w:sz w:val="28"/>
          <w:szCs w:val="28"/>
          <w:lang w:val="en-US" w:eastAsia="zh-CN"/>
        </w:rPr>
      </w:pPr>
    </w:p>
    <w:p>
      <w:pPr>
        <w:tabs>
          <w:tab w:val="left" w:pos="1620"/>
        </w:tabs>
        <w:spacing w:line="360" w:lineRule="auto"/>
        <w:ind w:firstLine="562"/>
        <w:rPr>
          <w:rFonts w:hint="eastAsia" w:ascii="仿宋" w:hAnsi="仿宋" w:eastAsia="仿宋"/>
          <w:snapToGrid w:val="0"/>
          <w:kern w:val="0"/>
          <w:sz w:val="28"/>
          <w:szCs w:val="28"/>
          <w:lang w:val="en-US" w:eastAsia="zh-CN"/>
        </w:rPr>
      </w:pPr>
    </w:p>
    <w:p>
      <w:pPr>
        <w:tabs>
          <w:tab w:val="left" w:pos="1620"/>
        </w:tabs>
        <w:spacing w:line="360" w:lineRule="auto"/>
        <w:ind w:firstLine="562"/>
        <w:jc w:val="right"/>
        <w:rPr>
          <w:rFonts w:hint="eastAsia" w:ascii="仿宋" w:hAnsi="仿宋" w:eastAsia="仿宋"/>
          <w:snapToGrid w:val="0"/>
          <w:kern w:val="0"/>
          <w:sz w:val="28"/>
          <w:szCs w:val="28"/>
          <w:lang w:val="en-US" w:eastAsia="zh-CN"/>
        </w:rPr>
      </w:pPr>
      <w:r>
        <w:rPr>
          <w:rFonts w:hint="eastAsia" w:ascii="仿宋" w:hAnsi="仿宋" w:eastAsia="仿宋"/>
          <w:snapToGrid w:val="0"/>
          <w:kern w:val="0"/>
          <w:sz w:val="28"/>
          <w:szCs w:val="28"/>
          <w:lang w:val="en-US" w:eastAsia="zh-CN"/>
        </w:rPr>
        <w:t>上海文谛资产管理有限公司</w:t>
      </w:r>
    </w:p>
    <w:p>
      <w:pPr>
        <w:tabs>
          <w:tab w:val="left" w:pos="1620"/>
        </w:tabs>
        <w:spacing w:line="360" w:lineRule="auto"/>
        <w:ind w:firstLine="562"/>
        <w:jc w:val="center"/>
        <w:rPr>
          <w:rFonts w:hint="eastAsia" w:ascii="仿宋" w:hAnsi="仿宋" w:eastAsia="仿宋"/>
          <w:snapToGrid w:val="0"/>
          <w:kern w:val="0"/>
          <w:sz w:val="28"/>
          <w:szCs w:val="28"/>
          <w:lang w:val="en-US" w:eastAsia="zh-CN"/>
        </w:rPr>
      </w:pPr>
      <w:r>
        <w:rPr>
          <w:rFonts w:hint="eastAsia" w:ascii="仿宋" w:hAnsi="仿宋" w:eastAsia="仿宋"/>
          <w:snapToGrid w:val="0"/>
          <w:kern w:val="0"/>
          <w:sz w:val="28"/>
          <w:szCs w:val="28"/>
          <w:lang w:val="en-US" w:eastAsia="zh-CN"/>
        </w:rPr>
        <w:t xml:space="preserve">                               </w:t>
      </w:r>
      <w:bookmarkStart w:id="26" w:name="_GoBack"/>
      <w:bookmarkEnd w:id="26"/>
      <w:r>
        <w:rPr>
          <w:rFonts w:hint="eastAsia" w:ascii="仿宋" w:hAnsi="仿宋" w:eastAsia="仿宋"/>
          <w:snapToGrid w:val="0"/>
          <w:kern w:val="0"/>
          <w:sz w:val="28"/>
          <w:szCs w:val="28"/>
          <w:lang w:val="en-US" w:eastAsia="zh-CN"/>
        </w:rPr>
        <w:t>2016年1月24日</w:t>
      </w:r>
    </w:p>
    <w:p>
      <w:pPr>
        <w:adjustRightInd w:val="0"/>
        <w:snapToGrid w:val="0"/>
        <w:spacing w:line="360" w:lineRule="auto"/>
        <w:ind w:firstLine="560" w:firstLineChars="200"/>
        <w:rPr>
          <w:rFonts w:ascii="仿宋" w:hAnsi="仿宋" w:eastAsia="仿宋"/>
          <w:sz w:val="28"/>
          <w:szCs w:val="28"/>
        </w:rPr>
      </w:pPr>
    </w:p>
    <w:p>
      <w:pPr>
        <w:pStyle w:val="19"/>
        <w:spacing w:line="360" w:lineRule="auto"/>
        <w:rPr>
          <w:rFonts w:ascii="仿宋" w:hAnsi="仿宋" w:eastAsia="仿宋"/>
          <w:snapToGrid w:val="0"/>
          <w:color w:val="auto"/>
          <w:sz w:val="28"/>
          <w:szCs w:val="28"/>
        </w:rPr>
      </w:pPr>
    </w:p>
    <w:p>
      <w:pPr>
        <w:pStyle w:val="19"/>
        <w:spacing w:line="360" w:lineRule="auto"/>
        <w:rPr>
          <w:rFonts w:ascii="仿宋" w:hAnsi="仿宋" w:eastAsia="仿宋"/>
          <w:snapToGrid w:val="0"/>
          <w:color w:val="auto"/>
          <w:sz w:val="28"/>
          <w:szCs w:val="28"/>
        </w:rPr>
      </w:pPr>
    </w:p>
    <w:p>
      <w:pPr>
        <w:pStyle w:val="19"/>
        <w:spacing w:line="360" w:lineRule="auto"/>
        <w:rPr>
          <w:rFonts w:ascii="仿宋" w:hAnsi="仿宋" w:eastAsia="仿宋"/>
          <w:snapToGrid w:val="0"/>
          <w:color w:val="auto"/>
          <w:sz w:val="28"/>
          <w:szCs w:val="28"/>
        </w:rPr>
      </w:pPr>
    </w:p>
    <w:p>
      <w:pPr>
        <w:pStyle w:val="19"/>
        <w:spacing w:line="360" w:lineRule="auto"/>
        <w:rPr>
          <w:rFonts w:ascii="仿宋" w:hAnsi="仿宋" w:eastAsia="仿宋"/>
          <w:snapToGrid w:val="0"/>
          <w:color w:val="auto"/>
          <w:sz w:val="28"/>
          <w:szCs w:val="28"/>
        </w:rPr>
      </w:pPr>
    </w:p>
    <w:p>
      <w:pPr>
        <w:adjustRightInd w:val="0"/>
        <w:snapToGrid w:val="0"/>
        <w:spacing w:line="360" w:lineRule="auto"/>
        <w:ind w:firstLine="560" w:firstLineChars="200"/>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Heiti SC Light">
    <w:altName w:val="微软雅黑"/>
    <w:panose1 w:val="00000000000000000000"/>
    <w:charset w:val="50"/>
    <w:family w:val="auto"/>
    <w:pitch w:val="default"/>
    <w:sig w:usb0="00000000" w:usb1="00000000" w:usb2="00000010" w:usb3="00000000" w:csb0="003E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A4556"/>
    <w:multiLevelType w:val="multilevel"/>
    <w:tmpl w:val="4E3A4556"/>
    <w:lvl w:ilvl="0" w:tentative="0">
      <w:start w:val="1"/>
      <w:numFmt w:val="japaneseCounting"/>
      <w:lvlText w:val="第%1章"/>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4208C9"/>
    <w:multiLevelType w:val="multilevel"/>
    <w:tmpl w:val="554208C9"/>
    <w:lvl w:ilvl="0" w:tentative="0">
      <w:start w:val="1"/>
      <w:numFmt w:val="japaneseCounting"/>
      <w:lvlText w:val="第%1条"/>
      <w:lvlJc w:val="left"/>
      <w:pPr>
        <w:ind w:left="1140" w:hanging="114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4A66"/>
    <w:rsid w:val="0002287D"/>
    <w:rsid w:val="00024E1B"/>
    <w:rsid w:val="00055F37"/>
    <w:rsid w:val="00057990"/>
    <w:rsid w:val="00063ABC"/>
    <w:rsid w:val="000A4006"/>
    <w:rsid w:val="000B171C"/>
    <w:rsid w:val="000B2742"/>
    <w:rsid w:val="000B2B31"/>
    <w:rsid w:val="000B5D65"/>
    <w:rsid w:val="000F72BB"/>
    <w:rsid w:val="001025DE"/>
    <w:rsid w:val="00102742"/>
    <w:rsid w:val="0013792B"/>
    <w:rsid w:val="0017785F"/>
    <w:rsid w:val="00196791"/>
    <w:rsid w:val="001D38A6"/>
    <w:rsid w:val="0021440E"/>
    <w:rsid w:val="00250AB0"/>
    <w:rsid w:val="00263BAC"/>
    <w:rsid w:val="00282452"/>
    <w:rsid w:val="002837CC"/>
    <w:rsid w:val="002B5314"/>
    <w:rsid w:val="002C7691"/>
    <w:rsid w:val="002E67EA"/>
    <w:rsid w:val="00306722"/>
    <w:rsid w:val="003301D2"/>
    <w:rsid w:val="003345EB"/>
    <w:rsid w:val="00347BAD"/>
    <w:rsid w:val="00356A3B"/>
    <w:rsid w:val="00374AAF"/>
    <w:rsid w:val="00375B69"/>
    <w:rsid w:val="00384B3D"/>
    <w:rsid w:val="003A117E"/>
    <w:rsid w:val="003C1ABC"/>
    <w:rsid w:val="00432321"/>
    <w:rsid w:val="004A151A"/>
    <w:rsid w:val="004C0D05"/>
    <w:rsid w:val="004F0443"/>
    <w:rsid w:val="00514B66"/>
    <w:rsid w:val="005319EB"/>
    <w:rsid w:val="00541DB1"/>
    <w:rsid w:val="00556690"/>
    <w:rsid w:val="00583B5C"/>
    <w:rsid w:val="00592334"/>
    <w:rsid w:val="0060148A"/>
    <w:rsid w:val="00651794"/>
    <w:rsid w:val="0066443B"/>
    <w:rsid w:val="00672216"/>
    <w:rsid w:val="0068653A"/>
    <w:rsid w:val="006C0ADE"/>
    <w:rsid w:val="006D7EF2"/>
    <w:rsid w:val="006E2F39"/>
    <w:rsid w:val="00706D26"/>
    <w:rsid w:val="00721004"/>
    <w:rsid w:val="007238EA"/>
    <w:rsid w:val="00734A85"/>
    <w:rsid w:val="00754A9C"/>
    <w:rsid w:val="007A24C7"/>
    <w:rsid w:val="007A6C72"/>
    <w:rsid w:val="007B7BEF"/>
    <w:rsid w:val="007C003F"/>
    <w:rsid w:val="007C0FAE"/>
    <w:rsid w:val="007E6FDE"/>
    <w:rsid w:val="007F2739"/>
    <w:rsid w:val="0088241E"/>
    <w:rsid w:val="008954C6"/>
    <w:rsid w:val="008A76BD"/>
    <w:rsid w:val="008D1E98"/>
    <w:rsid w:val="0092652F"/>
    <w:rsid w:val="00973A3B"/>
    <w:rsid w:val="00A01DD2"/>
    <w:rsid w:val="00A11479"/>
    <w:rsid w:val="00A46EA7"/>
    <w:rsid w:val="00A51B36"/>
    <w:rsid w:val="00A7082F"/>
    <w:rsid w:val="00A74EB5"/>
    <w:rsid w:val="00A8389F"/>
    <w:rsid w:val="00AA5291"/>
    <w:rsid w:val="00AF5B3A"/>
    <w:rsid w:val="00B25956"/>
    <w:rsid w:val="00B436B7"/>
    <w:rsid w:val="00B46A93"/>
    <w:rsid w:val="00B612CF"/>
    <w:rsid w:val="00B66B0D"/>
    <w:rsid w:val="00B67409"/>
    <w:rsid w:val="00B8338C"/>
    <w:rsid w:val="00BC372C"/>
    <w:rsid w:val="00BF259B"/>
    <w:rsid w:val="00BF5E92"/>
    <w:rsid w:val="00C2112C"/>
    <w:rsid w:val="00C30955"/>
    <w:rsid w:val="00C515F4"/>
    <w:rsid w:val="00C976B7"/>
    <w:rsid w:val="00CA0737"/>
    <w:rsid w:val="00CC10EB"/>
    <w:rsid w:val="00CC4A66"/>
    <w:rsid w:val="00CC6F7F"/>
    <w:rsid w:val="00CC7343"/>
    <w:rsid w:val="00CD571A"/>
    <w:rsid w:val="00CF64AF"/>
    <w:rsid w:val="00D074C7"/>
    <w:rsid w:val="00D252A0"/>
    <w:rsid w:val="00D27090"/>
    <w:rsid w:val="00D65E78"/>
    <w:rsid w:val="00D90C3B"/>
    <w:rsid w:val="00D93F7D"/>
    <w:rsid w:val="00DA4D5E"/>
    <w:rsid w:val="00DB513F"/>
    <w:rsid w:val="00E0012E"/>
    <w:rsid w:val="00E20D8A"/>
    <w:rsid w:val="00E30603"/>
    <w:rsid w:val="00E35452"/>
    <w:rsid w:val="00E7554F"/>
    <w:rsid w:val="00EB3B4E"/>
    <w:rsid w:val="00EB45D3"/>
    <w:rsid w:val="00EB7BED"/>
    <w:rsid w:val="00EC5B6A"/>
    <w:rsid w:val="00EF14AF"/>
    <w:rsid w:val="00F001DB"/>
    <w:rsid w:val="00F03193"/>
    <w:rsid w:val="00F464FF"/>
    <w:rsid w:val="00F52245"/>
    <w:rsid w:val="00F53CCA"/>
    <w:rsid w:val="00F954CC"/>
    <w:rsid w:val="00FC02E2"/>
    <w:rsid w:val="00FC4F3D"/>
    <w:rsid w:val="00FE4472"/>
    <w:rsid w:val="00FE5448"/>
    <w:rsid w:val="00FF1E03"/>
    <w:rsid w:val="128A2379"/>
    <w:rsid w:val="1BAC2AF0"/>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17"/>
    <w:qFormat/>
    <w:uiPriority w:val="0"/>
    <w:rPr>
      <w:rFonts w:ascii="宋体" w:hAnsi="Courier New"/>
      <w:sz w:val="21"/>
    </w:rPr>
  </w:style>
  <w:style w:type="paragraph" w:styleId="4">
    <w:name w:val="Balloon Text"/>
    <w:basedOn w:val="1"/>
    <w:link w:val="14"/>
    <w:unhideWhenUsed/>
    <w:qFormat/>
    <w:uiPriority w:val="99"/>
    <w:rPr>
      <w:rFonts w:ascii="Heiti SC Light" w:eastAsia="Heiti SC Light"/>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jc w:val="left"/>
    </w:pPr>
    <w:rPr>
      <w:kern w:val="0"/>
    </w:rPr>
  </w:style>
  <w:style w:type="character" w:customStyle="1" w:styleId="10">
    <w:name w:val="标题 1 Char"/>
    <w:basedOn w:val="8"/>
    <w:link w:val="2"/>
    <w:qFormat/>
    <w:uiPriority w:val="0"/>
    <w:rPr>
      <w:rFonts w:ascii="Times New Roman" w:hAnsi="Times New Roman" w:eastAsia="宋体" w:cs="Times New Roman"/>
      <w:b/>
      <w:bCs/>
      <w:kern w:val="44"/>
      <w:sz w:val="44"/>
      <w:szCs w:val="44"/>
    </w:rPr>
  </w:style>
  <w:style w:type="paragraph" w:customStyle="1" w:styleId="11">
    <w:name w:val="！正文"/>
    <w:qFormat/>
    <w:uiPriority w:val="0"/>
    <w:pPr>
      <w:wordWrap w:val="0"/>
      <w:adjustRightInd w:val="0"/>
      <w:snapToGrid w:val="0"/>
      <w:spacing w:line="360" w:lineRule="auto"/>
      <w:ind w:firstLine="200" w:firstLineChars="200"/>
    </w:pPr>
    <w:rPr>
      <w:rFonts w:ascii="宋体" w:hAnsi="宋体" w:eastAsia="仿宋_GB2312" w:cs="Times New Roman"/>
      <w:kern w:val="2"/>
      <w:sz w:val="24"/>
      <w:szCs w:val="22"/>
      <w:lang w:val="en-US" w:eastAsia="zh-CN" w:bidi="ar-SA"/>
    </w:rPr>
  </w:style>
  <w:style w:type="character" w:customStyle="1" w:styleId="12">
    <w:name w:val="页眉 Char"/>
    <w:basedOn w:val="8"/>
    <w:link w:val="6"/>
    <w:qFormat/>
    <w:uiPriority w:val="99"/>
    <w:rPr>
      <w:rFonts w:ascii="Times New Roman" w:hAnsi="Times New Roman" w:eastAsia="宋体" w:cs="Times New Roman"/>
      <w:sz w:val="18"/>
      <w:szCs w:val="18"/>
    </w:rPr>
  </w:style>
  <w:style w:type="character" w:customStyle="1" w:styleId="13">
    <w:name w:val="页脚 Char"/>
    <w:basedOn w:val="8"/>
    <w:link w:val="5"/>
    <w:qFormat/>
    <w:uiPriority w:val="99"/>
    <w:rPr>
      <w:rFonts w:ascii="Times New Roman" w:hAnsi="Times New Roman" w:eastAsia="宋体" w:cs="Times New Roman"/>
      <w:sz w:val="18"/>
      <w:szCs w:val="18"/>
    </w:rPr>
  </w:style>
  <w:style w:type="character" w:customStyle="1" w:styleId="14">
    <w:name w:val="批注框文本 Char"/>
    <w:basedOn w:val="8"/>
    <w:link w:val="4"/>
    <w:semiHidden/>
    <w:qFormat/>
    <w:uiPriority w:val="99"/>
    <w:rPr>
      <w:rFonts w:ascii="Heiti SC Light" w:hAnsi="Times New Roman" w:eastAsia="Heiti SC Light" w:cs="Times New Roman"/>
      <w:sz w:val="18"/>
      <w:szCs w:val="18"/>
    </w:rPr>
  </w:style>
  <w:style w:type="character" w:customStyle="1" w:styleId="15">
    <w:name w:val="正文文本 (15) Exact"/>
    <w:link w:val="16"/>
    <w:uiPriority w:val="0"/>
    <w:rPr>
      <w:rFonts w:ascii="Calibri" w:hAnsi="Calibri" w:cs="Times New Roman"/>
      <w:b/>
      <w:sz w:val="54"/>
      <w:szCs w:val="54"/>
      <w:shd w:val="clear" w:color="auto" w:fill="FFFFFF"/>
      <w:lang w:eastAsia="en-US"/>
    </w:rPr>
  </w:style>
  <w:style w:type="paragraph" w:customStyle="1" w:styleId="16">
    <w:name w:val="正文文本 (15)"/>
    <w:basedOn w:val="1"/>
    <w:link w:val="15"/>
    <w:qFormat/>
    <w:uiPriority w:val="0"/>
    <w:pPr>
      <w:shd w:val="clear" w:color="auto" w:fill="FFFFFF"/>
      <w:spacing w:line="240" w:lineRule="atLeast"/>
      <w:jc w:val="left"/>
    </w:pPr>
    <w:rPr>
      <w:rFonts w:ascii="Calibri" w:hAnsi="Calibri" w:eastAsiaTheme="minorEastAsia"/>
      <w:b/>
      <w:sz w:val="54"/>
      <w:szCs w:val="54"/>
      <w:lang w:eastAsia="en-US"/>
    </w:rPr>
  </w:style>
  <w:style w:type="character" w:customStyle="1" w:styleId="17">
    <w:name w:val="纯文本 Char"/>
    <w:basedOn w:val="8"/>
    <w:link w:val="3"/>
    <w:qFormat/>
    <w:uiPriority w:val="0"/>
    <w:rPr>
      <w:rFonts w:ascii="宋体" w:hAnsi="Courier New" w:eastAsia="宋体" w:cs="Times New Roman"/>
      <w:szCs w:val="20"/>
    </w:rPr>
  </w:style>
  <w:style w:type="paragraph" w:customStyle="1" w:styleId="18">
    <w:name w:val="List Paragraph"/>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F571B4-24C6-485B-B129-2C7592705E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695</Words>
  <Characters>3964</Characters>
  <Lines>33</Lines>
  <Paragraphs>9</Paragraphs>
  <ScaleCrop>false</ScaleCrop>
  <LinksUpToDate>false</LinksUpToDate>
  <CharactersWithSpaces>4650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2016-03-08T16:26:00Z</dcterms:created>
  <dc:creator>Microsoft</dc:creator>
  <cp:lastModifiedBy>hu</cp:lastModifiedBy>
  <dcterms:modified xsi:type="dcterms:W3CDTF">2016-10-28T02:53:44Z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